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2880"/>
        <w:gridCol w:w="240"/>
        <w:gridCol w:w="5760"/>
      </w:tblGrid>
      <w:tr w:rsidR="00DD0CB5" w:rsidRPr="00DD0CB5" w:rsidTr="00DD0CB5">
        <w:tc>
          <w:tcPr>
            <w:tcW w:w="2880" w:type="dxa"/>
            <w:shd w:val="clear" w:color="auto" w:fill="FFFFFF"/>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b/>
                <w:bCs/>
                <w:color w:val="000000"/>
                <w:sz w:val="20"/>
                <w:szCs w:val="20"/>
              </w:rPr>
              <w:t>BỘ TÀI CHÍNH</w:t>
            </w:r>
          </w:p>
        </w:tc>
        <w:tc>
          <w:tcPr>
            <w:tcW w:w="240" w:type="dxa"/>
            <w:shd w:val="clear" w:color="auto" w:fill="FFFFFF"/>
            <w:hideMark/>
          </w:tcPr>
          <w:p w:rsidR="00DD0CB5" w:rsidRPr="00DD0CB5" w:rsidRDefault="00DD0CB5" w:rsidP="00DD0CB5">
            <w:pPr>
              <w:spacing w:before="240" w:after="0" w:line="240" w:lineRule="auto"/>
              <w:rPr>
                <w:rFonts w:ascii="Arial" w:eastAsia="Times New Roman" w:hAnsi="Arial" w:cs="Arial"/>
                <w:color w:val="000000"/>
                <w:sz w:val="18"/>
                <w:szCs w:val="18"/>
              </w:rPr>
            </w:pPr>
            <w:r w:rsidRPr="00DD0CB5">
              <w:rPr>
                <w:rFonts w:ascii="Arial" w:eastAsia="Times New Roman" w:hAnsi="Arial" w:cs="Arial"/>
                <w:color w:val="000000"/>
                <w:sz w:val="18"/>
                <w:szCs w:val="18"/>
              </w:rPr>
              <w:t> </w:t>
            </w:r>
          </w:p>
        </w:tc>
        <w:tc>
          <w:tcPr>
            <w:tcW w:w="5760" w:type="dxa"/>
            <w:shd w:val="clear" w:color="auto" w:fill="FFFFFF"/>
            <w:hideMark/>
          </w:tcPr>
          <w:p w:rsidR="00DD0CB5" w:rsidRPr="00DD0CB5" w:rsidRDefault="00DD0CB5" w:rsidP="00DD0CB5">
            <w:pPr>
              <w:spacing w:before="240" w:after="0" w:line="240" w:lineRule="auto"/>
              <w:jc w:val="right"/>
              <w:rPr>
                <w:rFonts w:ascii="Times New Roman" w:eastAsia="Times New Roman" w:hAnsi="Times New Roman" w:cs="Times New Roman"/>
                <w:color w:val="000000"/>
                <w:sz w:val="24"/>
                <w:szCs w:val="24"/>
              </w:rPr>
            </w:pPr>
            <w:r w:rsidRPr="00DD0CB5">
              <w:rPr>
                <w:rFonts w:ascii="Arial" w:eastAsia="Times New Roman" w:hAnsi="Arial" w:cs="Arial"/>
                <w:b/>
                <w:bCs/>
                <w:color w:val="000000"/>
                <w:sz w:val="20"/>
                <w:szCs w:val="20"/>
              </w:rPr>
              <w:t>CỘNG HOÀ XÃ HỘI CHỦ NGHĨA VIỆT NAM</w:t>
            </w:r>
          </w:p>
        </w:tc>
      </w:tr>
      <w:tr w:rsidR="00DD0CB5" w:rsidRPr="00DD0CB5" w:rsidTr="00DD0CB5">
        <w:tc>
          <w:tcPr>
            <w:tcW w:w="2880" w:type="dxa"/>
            <w:shd w:val="clear" w:color="auto" w:fill="FFFFFF"/>
            <w:hideMark/>
          </w:tcPr>
          <w:p w:rsidR="00DD0CB5" w:rsidRPr="00DD0CB5" w:rsidRDefault="00016748" w:rsidP="00DD0CB5">
            <w:pPr>
              <w:spacing w:before="240" w:after="0" w:line="240" w:lineRule="auto"/>
              <w:jc w:val="center"/>
              <w:rPr>
                <w:rFonts w:ascii="Times New Roman" w:eastAsia="Times New Roman" w:hAnsi="Times New Roman" w:cs="Times New Roman"/>
                <w:color w:val="000000"/>
                <w:sz w:val="24"/>
                <w:szCs w:val="24"/>
              </w:rPr>
            </w:pPr>
            <w:r>
              <w:rPr>
                <w:rFonts w:ascii="Arial" w:eastAsia="Times New Roman" w:hAnsi="Arial" w:cs="Arial"/>
                <w:b/>
                <w:bCs/>
                <w:color w:val="000000"/>
                <w:sz w:val="20"/>
                <w:szCs w:val="20"/>
              </w:rPr>
              <w:t>--------</w:t>
            </w:r>
          </w:p>
        </w:tc>
        <w:tc>
          <w:tcPr>
            <w:tcW w:w="240" w:type="dxa"/>
            <w:shd w:val="clear" w:color="auto" w:fill="FFFFFF"/>
            <w:hideMark/>
          </w:tcPr>
          <w:p w:rsidR="00DD0CB5" w:rsidRPr="00DD0CB5" w:rsidRDefault="00DD0CB5" w:rsidP="00DD0CB5">
            <w:pPr>
              <w:spacing w:before="240" w:after="0" w:line="240" w:lineRule="auto"/>
              <w:rPr>
                <w:rFonts w:ascii="Arial" w:eastAsia="Times New Roman" w:hAnsi="Arial" w:cs="Arial"/>
                <w:color w:val="000000"/>
                <w:sz w:val="18"/>
                <w:szCs w:val="18"/>
              </w:rPr>
            </w:pPr>
            <w:r w:rsidRPr="00DD0CB5">
              <w:rPr>
                <w:rFonts w:ascii="Arial" w:eastAsia="Times New Roman" w:hAnsi="Arial" w:cs="Arial"/>
                <w:color w:val="000000"/>
                <w:sz w:val="18"/>
                <w:szCs w:val="18"/>
              </w:rPr>
              <w:t> </w:t>
            </w:r>
          </w:p>
        </w:tc>
        <w:tc>
          <w:tcPr>
            <w:tcW w:w="5760" w:type="dxa"/>
            <w:shd w:val="clear" w:color="auto" w:fill="FFFFFF"/>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b/>
                <w:bCs/>
                <w:color w:val="000000"/>
                <w:sz w:val="20"/>
                <w:szCs w:val="20"/>
              </w:rPr>
              <w:t>Độc lập </w:t>
            </w:r>
            <w:r w:rsidRPr="00DD0CB5">
              <w:rPr>
                <w:rFonts w:ascii="Arial" w:eastAsia="Times New Roman" w:hAnsi="Arial" w:cs="Arial"/>
                <w:color w:val="000000"/>
                <w:sz w:val="20"/>
                <w:szCs w:val="20"/>
              </w:rPr>
              <w:t>-</w:t>
            </w:r>
            <w:r w:rsidRPr="00DD0CB5">
              <w:rPr>
                <w:rFonts w:ascii="Arial" w:eastAsia="Times New Roman" w:hAnsi="Arial" w:cs="Arial"/>
                <w:b/>
                <w:bCs/>
                <w:color w:val="000000"/>
                <w:sz w:val="20"/>
                <w:szCs w:val="20"/>
              </w:rPr>
              <w:t> Tự do </w:t>
            </w:r>
            <w:r w:rsidRPr="00DD0CB5">
              <w:rPr>
                <w:rFonts w:ascii="Arial" w:eastAsia="Times New Roman" w:hAnsi="Arial" w:cs="Arial"/>
                <w:color w:val="000000"/>
                <w:sz w:val="20"/>
                <w:szCs w:val="20"/>
              </w:rPr>
              <w:t>-</w:t>
            </w:r>
            <w:r w:rsidRPr="00DD0CB5">
              <w:rPr>
                <w:rFonts w:ascii="Arial" w:eastAsia="Times New Roman" w:hAnsi="Arial" w:cs="Arial"/>
                <w:b/>
                <w:bCs/>
                <w:color w:val="000000"/>
                <w:sz w:val="20"/>
                <w:szCs w:val="20"/>
              </w:rPr>
              <w:t> Hạnh phúc</w:t>
            </w:r>
          </w:p>
        </w:tc>
      </w:tr>
      <w:tr w:rsidR="00DD0CB5" w:rsidRPr="00DD0CB5" w:rsidTr="00DD0CB5">
        <w:tc>
          <w:tcPr>
            <w:tcW w:w="2880" w:type="dxa"/>
            <w:shd w:val="clear" w:color="auto" w:fill="FFFFFF"/>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Số: 03/2012/TT-BTC</w:t>
            </w:r>
          </w:p>
        </w:tc>
        <w:tc>
          <w:tcPr>
            <w:tcW w:w="240" w:type="dxa"/>
            <w:shd w:val="clear" w:color="auto" w:fill="FFFFFF"/>
            <w:hideMark/>
          </w:tcPr>
          <w:p w:rsidR="00DD0CB5" w:rsidRPr="00DD0CB5" w:rsidRDefault="00DD0CB5" w:rsidP="00DD0CB5">
            <w:pPr>
              <w:spacing w:before="240" w:after="0" w:line="240" w:lineRule="auto"/>
              <w:rPr>
                <w:rFonts w:ascii="Arial" w:eastAsia="Times New Roman" w:hAnsi="Arial" w:cs="Arial"/>
                <w:color w:val="000000"/>
                <w:sz w:val="18"/>
                <w:szCs w:val="18"/>
              </w:rPr>
            </w:pPr>
            <w:r w:rsidRPr="00DD0CB5">
              <w:rPr>
                <w:rFonts w:ascii="Arial" w:eastAsia="Times New Roman" w:hAnsi="Arial" w:cs="Arial"/>
                <w:color w:val="000000"/>
                <w:sz w:val="18"/>
                <w:szCs w:val="18"/>
              </w:rPr>
              <w:t> </w:t>
            </w:r>
          </w:p>
        </w:tc>
        <w:tc>
          <w:tcPr>
            <w:tcW w:w="5760" w:type="dxa"/>
            <w:shd w:val="clear" w:color="auto" w:fill="FFFFFF"/>
            <w:hideMark/>
          </w:tcPr>
          <w:p w:rsidR="00DD0CB5" w:rsidRPr="00DD0CB5" w:rsidRDefault="00016748" w:rsidP="00DD0CB5">
            <w:pPr>
              <w:spacing w:before="240" w:after="0" w:line="240" w:lineRule="auto"/>
              <w:jc w:val="center"/>
              <w:rPr>
                <w:rFonts w:ascii="Times New Roman" w:eastAsia="Times New Roman" w:hAnsi="Times New Roman" w:cs="Times New Roman"/>
                <w:color w:val="000000"/>
                <w:sz w:val="24"/>
                <w:szCs w:val="24"/>
              </w:rPr>
            </w:pPr>
            <w:r>
              <w:rPr>
                <w:rFonts w:ascii="Arial" w:eastAsia="Times New Roman" w:hAnsi="Arial" w:cs="Arial"/>
                <w:b/>
                <w:bCs/>
                <w:color w:val="000000"/>
                <w:sz w:val="20"/>
                <w:szCs w:val="20"/>
              </w:rPr>
              <w:t>-------------</w:t>
            </w:r>
          </w:p>
        </w:tc>
      </w:tr>
      <w:tr w:rsidR="00DD0CB5" w:rsidRPr="00DD0CB5" w:rsidTr="00DD0CB5">
        <w:tc>
          <w:tcPr>
            <w:tcW w:w="2880" w:type="dxa"/>
            <w:shd w:val="clear" w:color="auto" w:fill="FFFFFF"/>
            <w:hideMark/>
          </w:tcPr>
          <w:p w:rsidR="00DD0CB5" w:rsidRPr="00DD0CB5" w:rsidRDefault="00DD0CB5" w:rsidP="00DD0CB5">
            <w:pPr>
              <w:spacing w:before="240" w:after="0" w:line="240" w:lineRule="auto"/>
              <w:rPr>
                <w:rFonts w:ascii="Arial" w:eastAsia="Times New Roman" w:hAnsi="Arial" w:cs="Arial"/>
                <w:color w:val="000000"/>
                <w:sz w:val="18"/>
                <w:szCs w:val="18"/>
              </w:rPr>
            </w:pPr>
            <w:r w:rsidRPr="00DD0CB5">
              <w:rPr>
                <w:rFonts w:ascii="Arial" w:eastAsia="Times New Roman" w:hAnsi="Arial" w:cs="Arial"/>
                <w:color w:val="000000"/>
                <w:sz w:val="18"/>
                <w:szCs w:val="18"/>
              </w:rPr>
              <w:t> </w:t>
            </w:r>
          </w:p>
        </w:tc>
        <w:tc>
          <w:tcPr>
            <w:tcW w:w="240" w:type="dxa"/>
            <w:shd w:val="clear" w:color="auto" w:fill="FFFFFF"/>
            <w:hideMark/>
          </w:tcPr>
          <w:p w:rsidR="00DD0CB5" w:rsidRPr="00DD0CB5" w:rsidRDefault="00DD0CB5" w:rsidP="00DD0CB5">
            <w:pPr>
              <w:spacing w:before="240" w:after="0" w:line="240" w:lineRule="auto"/>
              <w:rPr>
                <w:rFonts w:ascii="Arial" w:eastAsia="Times New Roman" w:hAnsi="Arial" w:cs="Arial"/>
                <w:color w:val="000000"/>
                <w:sz w:val="18"/>
                <w:szCs w:val="18"/>
              </w:rPr>
            </w:pPr>
            <w:r w:rsidRPr="00DD0CB5">
              <w:rPr>
                <w:rFonts w:ascii="Arial" w:eastAsia="Times New Roman" w:hAnsi="Arial" w:cs="Arial"/>
                <w:color w:val="000000"/>
                <w:sz w:val="18"/>
                <w:szCs w:val="18"/>
              </w:rPr>
              <w:t> </w:t>
            </w:r>
          </w:p>
        </w:tc>
        <w:tc>
          <w:tcPr>
            <w:tcW w:w="5760" w:type="dxa"/>
            <w:shd w:val="clear" w:color="auto" w:fill="FFFFFF"/>
            <w:hideMark/>
          </w:tcPr>
          <w:p w:rsidR="00DD0CB5" w:rsidRPr="00DD0CB5" w:rsidRDefault="00DD0CB5" w:rsidP="00DD0CB5">
            <w:pPr>
              <w:spacing w:before="240" w:after="0" w:line="240" w:lineRule="auto"/>
              <w:jc w:val="center"/>
              <w:rPr>
                <w:rFonts w:ascii="Arial" w:eastAsia="Times New Roman" w:hAnsi="Arial" w:cs="Arial"/>
                <w:i/>
                <w:iCs/>
                <w:color w:val="000000"/>
                <w:sz w:val="28"/>
                <w:szCs w:val="28"/>
              </w:rPr>
            </w:pPr>
            <w:r w:rsidRPr="00DD0CB5">
              <w:rPr>
                <w:rFonts w:ascii="Arial" w:eastAsia="Times New Roman" w:hAnsi="Arial" w:cs="Arial"/>
                <w:i/>
                <w:iCs/>
                <w:color w:val="000000"/>
                <w:sz w:val="20"/>
                <w:szCs w:val="20"/>
              </w:rPr>
              <w:t>Hà Nội, ngày 05 tháng 01 năm 2012</w:t>
            </w:r>
          </w:p>
        </w:tc>
      </w:tr>
      <w:tr w:rsidR="00016748" w:rsidRPr="00DD0CB5" w:rsidTr="00DD0CB5">
        <w:tc>
          <w:tcPr>
            <w:tcW w:w="2880" w:type="dxa"/>
            <w:shd w:val="clear" w:color="auto" w:fill="FFFFFF"/>
          </w:tcPr>
          <w:p w:rsidR="00016748" w:rsidRPr="00DD0CB5" w:rsidRDefault="00016748" w:rsidP="00DD0CB5">
            <w:pPr>
              <w:spacing w:before="240" w:after="0" w:line="240" w:lineRule="auto"/>
              <w:rPr>
                <w:rFonts w:ascii="Arial" w:eastAsia="Times New Roman" w:hAnsi="Arial" w:cs="Arial"/>
                <w:color w:val="000000"/>
                <w:sz w:val="18"/>
                <w:szCs w:val="18"/>
              </w:rPr>
            </w:pPr>
          </w:p>
        </w:tc>
        <w:tc>
          <w:tcPr>
            <w:tcW w:w="240" w:type="dxa"/>
            <w:shd w:val="clear" w:color="auto" w:fill="FFFFFF"/>
          </w:tcPr>
          <w:p w:rsidR="00016748" w:rsidRPr="00DD0CB5" w:rsidRDefault="00016748" w:rsidP="00DD0CB5">
            <w:pPr>
              <w:spacing w:before="240" w:after="0" w:line="240" w:lineRule="auto"/>
              <w:rPr>
                <w:rFonts w:ascii="Arial" w:eastAsia="Times New Roman" w:hAnsi="Arial" w:cs="Arial"/>
                <w:color w:val="000000"/>
                <w:sz w:val="18"/>
                <w:szCs w:val="18"/>
              </w:rPr>
            </w:pPr>
          </w:p>
        </w:tc>
        <w:tc>
          <w:tcPr>
            <w:tcW w:w="5760" w:type="dxa"/>
            <w:shd w:val="clear" w:color="auto" w:fill="FFFFFF"/>
          </w:tcPr>
          <w:p w:rsidR="00016748" w:rsidRPr="00DD0CB5" w:rsidRDefault="00016748" w:rsidP="00DD0CB5">
            <w:pPr>
              <w:spacing w:before="240" w:after="0" w:line="240" w:lineRule="auto"/>
              <w:jc w:val="center"/>
              <w:rPr>
                <w:rFonts w:ascii="Arial" w:eastAsia="Times New Roman" w:hAnsi="Arial" w:cs="Arial"/>
                <w:i/>
                <w:iCs/>
                <w:color w:val="000000"/>
                <w:sz w:val="20"/>
                <w:szCs w:val="20"/>
              </w:rPr>
            </w:pPr>
          </w:p>
        </w:tc>
      </w:tr>
    </w:tbl>
    <w:p w:rsidR="00016748" w:rsidRPr="00DD0CB5" w:rsidRDefault="00016748" w:rsidP="00016748">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b/>
          <w:bCs/>
          <w:color w:val="000000"/>
          <w:sz w:val="20"/>
          <w:szCs w:val="20"/>
        </w:rPr>
        <w:t>THÔNG TƯ</w:t>
      </w:r>
    </w:p>
    <w:p w:rsidR="00016748" w:rsidRPr="00DD0CB5" w:rsidRDefault="00016748" w:rsidP="00016748">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b/>
          <w:bCs/>
          <w:color w:val="000000"/>
          <w:sz w:val="20"/>
          <w:szCs w:val="20"/>
        </w:rPr>
        <w:t xml:space="preserve">Hướng dẫn mức </w:t>
      </w:r>
      <w:proofErr w:type="gramStart"/>
      <w:r w:rsidRPr="00DD0CB5">
        <w:rPr>
          <w:rFonts w:ascii="Arial" w:eastAsia="Times New Roman" w:hAnsi="Arial" w:cs="Arial"/>
          <w:b/>
          <w:bCs/>
          <w:color w:val="000000"/>
          <w:sz w:val="20"/>
          <w:szCs w:val="20"/>
        </w:rPr>
        <w:t>thu</w:t>
      </w:r>
      <w:proofErr w:type="gramEnd"/>
      <w:r w:rsidRPr="00DD0CB5">
        <w:rPr>
          <w:rFonts w:ascii="Arial" w:eastAsia="Times New Roman" w:hAnsi="Arial" w:cs="Arial"/>
          <w:b/>
          <w:bCs/>
          <w:color w:val="000000"/>
          <w:sz w:val="20"/>
          <w:szCs w:val="20"/>
        </w:rPr>
        <w:t>, chế độ thu, nộp, quản lý và sử dụng phí đấu giá,</w:t>
      </w:r>
    </w:p>
    <w:p w:rsidR="00016748" w:rsidRPr="00DD0CB5" w:rsidRDefault="00016748" w:rsidP="00016748">
      <w:pPr>
        <w:spacing w:before="240" w:after="0" w:line="240" w:lineRule="auto"/>
        <w:jc w:val="center"/>
        <w:rPr>
          <w:rFonts w:ascii="Times New Roman" w:eastAsia="Times New Roman" w:hAnsi="Times New Roman" w:cs="Times New Roman"/>
          <w:color w:val="000000"/>
          <w:sz w:val="24"/>
          <w:szCs w:val="24"/>
        </w:rPr>
      </w:pPr>
      <w:proofErr w:type="gramStart"/>
      <w:r w:rsidRPr="00DD0CB5">
        <w:rPr>
          <w:rFonts w:ascii="Arial" w:eastAsia="Times New Roman" w:hAnsi="Arial" w:cs="Arial"/>
          <w:b/>
          <w:bCs/>
          <w:color w:val="000000"/>
          <w:sz w:val="20"/>
          <w:szCs w:val="20"/>
        </w:rPr>
        <w:t>phí</w:t>
      </w:r>
      <w:proofErr w:type="gramEnd"/>
      <w:r w:rsidRPr="00DD0CB5">
        <w:rPr>
          <w:rFonts w:ascii="Arial" w:eastAsia="Times New Roman" w:hAnsi="Arial" w:cs="Arial"/>
          <w:b/>
          <w:bCs/>
          <w:color w:val="000000"/>
          <w:sz w:val="20"/>
          <w:szCs w:val="20"/>
        </w:rPr>
        <w:t xml:space="preserve"> tham gia đấu giá và lệ phí cấp Chứng chỉ hành nghề đấu giá tài sản</w:t>
      </w:r>
    </w:p>
    <w:p w:rsidR="00016748" w:rsidRDefault="00016748" w:rsidP="00016748">
      <w:pPr>
        <w:shd w:val="clear" w:color="auto" w:fill="FFFFFF"/>
        <w:spacing w:before="240" w:after="0" w:line="240" w:lineRule="auto"/>
        <w:ind w:firstLine="720"/>
        <w:jc w:val="center"/>
        <w:rPr>
          <w:rFonts w:ascii="Arial" w:eastAsia="Times New Roman" w:hAnsi="Arial" w:cs="Arial"/>
          <w:color w:val="000000"/>
          <w:sz w:val="20"/>
          <w:szCs w:val="20"/>
        </w:rPr>
      </w:pPr>
      <w:r w:rsidRPr="00DD0CB5">
        <w:rPr>
          <w:rFonts w:ascii="Arial" w:eastAsia="Times New Roman" w:hAnsi="Arial" w:cs="Arial"/>
          <w:b/>
          <w:bCs/>
          <w:color w:val="000000"/>
          <w:sz w:val="20"/>
          <w:szCs w:val="20"/>
        </w:rPr>
        <w:t>--------------------------------------------------</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Căn cứ Pháp lệnh phí và lệ phí số 38/2001/PL-UBTVQH10 ngày 28/8/2001;</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Căn cứ Nghị định số 57/2002/NĐ-CP ngày 03/6/2002 của Chính phủ quy định chi tiết thi hành Pháp lệnh Phí và lệ phí; Nghị định số 24/2006/NĐ-CP ngày 06/3/2006 sửa đổi, bổ sung một số điều của Nghị định số 57/2002/NĐ-CP ngày 03/6/2002;   </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Căn cứ Nghị định số 52/2009NĐ-CP ngày 03/6/2009 của Chính phủ </w:t>
      </w:r>
      <w:r w:rsidRPr="00DD0CB5">
        <w:rPr>
          <w:rFonts w:ascii="Times New Roman" w:eastAsia="Times New Roman" w:hAnsi="Times New Roman" w:cs="Times New Roman"/>
          <w:color w:val="000000"/>
          <w:sz w:val="24"/>
          <w:szCs w:val="24"/>
        </w:rPr>
        <w:t>quy </w:t>
      </w:r>
      <w:r w:rsidRPr="00DD0CB5">
        <w:rPr>
          <w:rFonts w:ascii="Arial" w:eastAsia="Times New Roman" w:hAnsi="Arial" w:cs="Arial"/>
          <w:color w:val="000000"/>
          <w:sz w:val="20"/>
          <w:szCs w:val="20"/>
        </w:rPr>
        <w:t>định</w:t>
      </w:r>
      <w:r w:rsidRPr="00DD0CB5">
        <w:rPr>
          <w:rFonts w:ascii="Times New Roman" w:eastAsia="Times New Roman" w:hAnsi="Times New Roman" w:cs="Times New Roman"/>
          <w:color w:val="000000"/>
          <w:sz w:val="24"/>
          <w:szCs w:val="24"/>
        </w:rPr>
        <w:t> chi </w:t>
      </w:r>
      <w:r w:rsidRPr="00DD0CB5">
        <w:rPr>
          <w:rFonts w:ascii="Arial" w:eastAsia="Times New Roman" w:hAnsi="Arial" w:cs="Arial"/>
          <w:color w:val="000000"/>
          <w:sz w:val="20"/>
          <w:szCs w:val="20"/>
        </w:rPr>
        <w:t>tiết</w:t>
      </w:r>
      <w:r w:rsidRPr="00DD0CB5">
        <w:rPr>
          <w:rFonts w:ascii="Times New Roman" w:eastAsia="Times New Roman" w:hAnsi="Times New Roman" w:cs="Times New Roman"/>
          <w:color w:val="000000"/>
          <w:sz w:val="24"/>
          <w:szCs w:val="24"/>
        </w:rPr>
        <w:t> và </w:t>
      </w:r>
      <w:r w:rsidRPr="00DD0CB5">
        <w:rPr>
          <w:rFonts w:ascii="Arial" w:eastAsia="Times New Roman" w:hAnsi="Arial" w:cs="Arial"/>
          <w:color w:val="000000"/>
          <w:sz w:val="20"/>
          <w:szCs w:val="20"/>
        </w:rPr>
        <w:t>hướng</w:t>
      </w:r>
      <w:r w:rsidRPr="00DD0CB5">
        <w:rPr>
          <w:rFonts w:ascii="Times New Roman" w:eastAsia="Times New Roman" w:hAnsi="Times New Roman" w:cs="Times New Roman"/>
          <w:color w:val="000000"/>
          <w:sz w:val="24"/>
          <w:szCs w:val="24"/>
        </w:rPr>
        <w:t> </w:t>
      </w:r>
      <w:r w:rsidRPr="00DD0CB5">
        <w:rPr>
          <w:rFonts w:ascii="Arial" w:eastAsia="Times New Roman" w:hAnsi="Arial" w:cs="Arial"/>
          <w:color w:val="000000"/>
          <w:sz w:val="20"/>
          <w:szCs w:val="20"/>
        </w:rPr>
        <w:t>dẫn</w:t>
      </w:r>
      <w:r w:rsidRPr="00DD0CB5">
        <w:rPr>
          <w:rFonts w:ascii="Times New Roman" w:eastAsia="Times New Roman" w:hAnsi="Times New Roman" w:cs="Times New Roman"/>
          <w:color w:val="000000"/>
          <w:sz w:val="24"/>
          <w:szCs w:val="24"/>
        </w:rPr>
        <w:t> thi hành </w:t>
      </w:r>
      <w:r w:rsidRPr="00DD0CB5">
        <w:rPr>
          <w:rFonts w:ascii="Arial" w:eastAsia="Times New Roman" w:hAnsi="Arial" w:cs="Arial"/>
          <w:color w:val="000000"/>
          <w:sz w:val="20"/>
          <w:szCs w:val="20"/>
        </w:rPr>
        <w:t>một</w:t>
      </w:r>
      <w:r w:rsidRPr="00DD0CB5">
        <w:rPr>
          <w:rFonts w:ascii="Times New Roman" w:eastAsia="Times New Roman" w:hAnsi="Times New Roman" w:cs="Times New Roman"/>
          <w:color w:val="000000"/>
          <w:sz w:val="24"/>
          <w:szCs w:val="24"/>
        </w:rPr>
        <w:t> </w:t>
      </w:r>
      <w:r w:rsidRPr="00DD0CB5">
        <w:rPr>
          <w:rFonts w:ascii="Arial" w:eastAsia="Times New Roman" w:hAnsi="Arial" w:cs="Arial"/>
          <w:color w:val="000000"/>
          <w:sz w:val="20"/>
          <w:szCs w:val="20"/>
        </w:rPr>
        <w:t>số</w:t>
      </w:r>
      <w:r w:rsidRPr="00DD0CB5">
        <w:rPr>
          <w:rFonts w:ascii="Times New Roman" w:eastAsia="Times New Roman" w:hAnsi="Times New Roman" w:cs="Times New Roman"/>
          <w:color w:val="000000"/>
          <w:sz w:val="24"/>
          <w:szCs w:val="24"/>
        </w:rPr>
        <w:t> </w:t>
      </w:r>
      <w:r w:rsidRPr="00DD0CB5">
        <w:rPr>
          <w:rFonts w:ascii="Arial" w:eastAsia="Times New Roman" w:hAnsi="Arial" w:cs="Arial"/>
          <w:color w:val="000000"/>
          <w:sz w:val="20"/>
          <w:szCs w:val="20"/>
        </w:rPr>
        <w:t>điều</w:t>
      </w:r>
      <w:r w:rsidRPr="00DD0CB5">
        <w:rPr>
          <w:rFonts w:ascii="Times New Roman" w:eastAsia="Times New Roman" w:hAnsi="Times New Roman" w:cs="Times New Roman"/>
          <w:color w:val="000000"/>
          <w:sz w:val="24"/>
          <w:szCs w:val="24"/>
        </w:rPr>
        <w:t> </w:t>
      </w:r>
      <w:r w:rsidRPr="00DD0CB5">
        <w:rPr>
          <w:rFonts w:ascii="Arial" w:eastAsia="Times New Roman" w:hAnsi="Arial" w:cs="Arial"/>
          <w:color w:val="000000"/>
          <w:sz w:val="20"/>
          <w:szCs w:val="20"/>
        </w:rPr>
        <w:t>của</w:t>
      </w:r>
      <w:r w:rsidRPr="00DD0CB5">
        <w:rPr>
          <w:rFonts w:ascii="Times New Roman" w:eastAsia="Times New Roman" w:hAnsi="Times New Roman" w:cs="Times New Roman"/>
          <w:color w:val="000000"/>
          <w:sz w:val="24"/>
          <w:szCs w:val="24"/>
        </w:rPr>
        <w:t> </w:t>
      </w:r>
      <w:r w:rsidRPr="00DD0CB5">
        <w:rPr>
          <w:rFonts w:ascii="Arial" w:eastAsia="Times New Roman" w:hAnsi="Arial" w:cs="Arial"/>
          <w:color w:val="000000"/>
          <w:sz w:val="20"/>
          <w:szCs w:val="20"/>
        </w:rPr>
        <w:t>Luật</w:t>
      </w:r>
      <w:r w:rsidRPr="00DD0CB5">
        <w:rPr>
          <w:rFonts w:ascii="Times New Roman" w:eastAsia="Times New Roman" w:hAnsi="Times New Roman" w:cs="Times New Roman"/>
          <w:color w:val="000000"/>
          <w:sz w:val="24"/>
          <w:szCs w:val="24"/>
        </w:rPr>
        <w:t> </w:t>
      </w:r>
      <w:r w:rsidRPr="00DD0CB5">
        <w:rPr>
          <w:rFonts w:ascii="Arial" w:eastAsia="Times New Roman" w:hAnsi="Arial" w:cs="Arial"/>
          <w:color w:val="000000"/>
          <w:sz w:val="20"/>
          <w:szCs w:val="20"/>
        </w:rPr>
        <w:t>Quản</w:t>
      </w:r>
      <w:r w:rsidRPr="00DD0CB5">
        <w:rPr>
          <w:rFonts w:ascii="Times New Roman" w:eastAsia="Times New Roman" w:hAnsi="Times New Roman" w:cs="Times New Roman"/>
          <w:color w:val="000000"/>
          <w:sz w:val="24"/>
          <w:szCs w:val="24"/>
        </w:rPr>
        <w:t> lý, </w:t>
      </w:r>
      <w:r w:rsidRPr="00DD0CB5">
        <w:rPr>
          <w:rFonts w:ascii="Arial" w:eastAsia="Times New Roman" w:hAnsi="Arial" w:cs="Arial"/>
          <w:color w:val="000000"/>
          <w:sz w:val="20"/>
          <w:szCs w:val="20"/>
        </w:rPr>
        <w:t>sử</w:t>
      </w:r>
      <w:r w:rsidRPr="00DD0CB5">
        <w:rPr>
          <w:rFonts w:ascii="Times New Roman" w:eastAsia="Times New Roman" w:hAnsi="Times New Roman" w:cs="Times New Roman"/>
          <w:color w:val="000000"/>
          <w:sz w:val="24"/>
          <w:szCs w:val="24"/>
        </w:rPr>
        <w:t> </w:t>
      </w:r>
      <w:r w:rsidRPr="00DD0CB5">
        <w:rPr>
          <w:rFonts w:ascii="Arial" w:eastAsia="Times New Roman" w:hAnsi="Arial" w:cs="Arial"/>
          <w:color w:val="000000"/>
          <w:sz w:val="20"/>
          <w:szCs w:val="20"/>
        </w:rPr>
        <w:t>dụng</w:t>
      </w:r>
      <w:r w:rsidRPr="00DD0CB5">
        <w:rPr>
          <w:rFonts w:ascii="Times New Roman" w:eastAsia="Times New Roman" w:hAnsi="Times New Roman" w:cs="Times New Roman"/>
          <w:color w:val="000000"/>
          <w:sz w:val="24"/>
          <w:szCs w:val="24"/>
        </w:rPr>
        <w:t> tài </w:t>
      </w:r>
      <w:r w:rsidRPr="00DD0CB5">
        <w:rPr>
          <w:rFonts w:ascii="Arial" w:eastAsia="Times New Roman" w:hAnsi="Arial" w:cs="Arial"/>
          <w:color w:val="000000"/>
          <w:sz w:val="20"/>
          <w:szCs w:val="20"/>
        </w:rPr>
        <w:t>sản</w:t>
      </w:r>
      <w:r w:rsidRPr="00DD0CB5">
        <w:rPr>
          <w:rFonts w:ascii="Times New Roman" w:eastAsia="Times New Roman" w:hAnsi="Times New Roman" w:cs="Times New Roman"/>
          <w:color w:val="000000"/>
          <w:sz w:val="24"/>
          <w:szCs w:val="24"/>
        </w:rPr>
        <w:t> nhà </w:t>
      </w:r>
      <w:r w:rsidRPr="00DD0CB5">
        <w:rPr>
          <w:rFonts w:ascii="Arial" w:eastAsia="Times New Roman" w:hAnsi="Arial" w:cs="Arial"/>
          <w:color w:val="000000"/>
          <w:sz w:val="20"/>
          <w:szCs w:val="20"/>
        </w:rPr>
        <w:t>nước</w:t>
      </w:r>
      <w:r w:rsidRPr="00DD0CB5">
        <w:rPr>
          <w:rFonts w:ascii="Times New Roman" w:eastAsia="Times New Roman" w:hAnsi="Times New Roman" w:cs="Times New Roman"/>
          <w:color w:val="000000"/>
          <w:sz w:val="24"/>
          <w:szCs w:val="24"/>
        </w:rPr>
        <w:t>;</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Căn cứ Nghị định số 17/2010/NĐ-CP ngày 04/3/2010 của Chính phủ về bán đấu giá tài sản;</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Căn cứ Nghị định số 118/2008/NĐ-CP ngày 27/11/2008 của Chính phủ quy định chức năng, nhiệm vụ, quyền hạn và cơ cấu tổ chức của Bộ Tài chính;</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Sau khi có ý kiến của Bộ Tư pháp tại công văn số 4884/BTP-BTTP ngày 17/8/2011,</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xml:space="preserve">Bộ Tài chính hướng dẫn mức </w:t>
      </w:r>
      <w:proofErr w:type="gramStart"/>
      <w:r w:rsidRPr="00DD0CB5">
        <w:rPr>
          <w:rFonts w:ascii="Arial" w:eastAsia="Times New Roman" w:hAnsi="Arial" w:cs="Arial"/>
          <w:color w:val="000000"/>
          <w:sz w:val="20"/>
          <w:szCs w:val="20"/>
        </w:rPr>
        <w:t>thu</w:t>
      </w:r>
      <w:proofErr w:type="gramEnd"/>
      <w:r w:rsidRPr="00DD0CB5">
        <w:rPr>
          <w:rFonts w:ascii="Arial" w:eastAsia="Times New Roman" w:hAnsi="Arial" w:cs="Arial"/>
          <w:color w:val="000000"/>
          <w:sz w:val="20"/>
          <w:szCs w:val="20"/>
        </w:rPr>
        <w:t>, chế độ thu, nộp, quản lý và sử dụng phí đấu giá, phí tham gia đấu giá và lệ phí cấp Chứng chỉ hành nghề đấu giá, như sau:</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proofErr w:type="gramStart"/>
      <w:r w:rsidRPr="00DD0CB5">
        <w:rPr>
          <w:rFonts w:ascii="Arial" w:eastAsia="Times New Roman" w:hAnsi="Arial" w:cs="Arial"/>
          <w:b/>
          <w:bCs/>
          <w:color w:val="000000"/>
          <w:sz w:val="20"/>
          <w:szCs w:val="20"/>
        </w:rPr>
        <w:t>Điều 1.</w:t>
      </w:r>
      <w:proofErr w:type="gramEnd"/>
      <w:r w:rsidRPr="00DD0CB5">
        <w:rPr>
          <w:rFonts w:ascii="Arial" w:eastAsia="Times New Roman" w:hAnsi="Arial" w:cs="Arial"/>
          <w:b/>
          <w:bCs/>
          <w:color w:val="000000"/>
          <w:sz w:val="20"/>
          <w:szCs w:val="20"/>
        </w:rPr>
        <w:t xml:space="preserve"> Phạm </w:t>
      </w:r>
      <w:proofErr w:type="gramStart"/>
      <w:r w:rsidRPr="00DD0CB5">
        <w:rPr>
          <w:rFonts w:ascii="Arial" w:eastAsia="Times New Roman" w:hAnsi="Arial" w:cs="Arial"/>
          <w:b/>
          <w:bCs/>
          <w:color w:val="000000"/>
          <w:sz w:val="20"/>
          <w:szCs w:val="20"/>
        </w:rPr>
        <w:t>vi</w:t>
      </w:r>
      <w:proofErr w:type="gramEnd"/>
      <w:r w:rsidRPr="00DD0CB5">
        <w:rPr>
          <w:rFonts w:ascii="Arial" w:eastAsia="Times New Roman" w:hAnsi="Arial" w:cs="Arial"/>
          <w:b/>
          <w:bCs/>
          <w:color w:val="000000"/>
          <w:sz w:val="20"/>
          <w:szCs w:val="20"/>
        </w:rPr>
        <w:t xml:space="preserve"> điều chỉnh, đối tượng áp dụng</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1. Thông tư này hướng dẫn về mức thu, chế độ thu, nộp, quản lý và sử dụng phí đấu giá, phí tham gia đấu giá và lệ phí cấp Chứng chỉ hành nghề đấu giá quy định tại khoản 3 Điều 51</w:t>
      </w:r>
      <w:r w:rsidRPr="00DD0CB5">
        <w:rPr>
          <w:rFonts w:ascii="Arial" w:eastAsia="Times New Roman" w:hAnsi="Arial" w:cs="Arial"/>
          <w:b/>
          <w:bCs/>
          <w:i/>
          <w:iCs/>
          <w:color w:val="000000"/>
          <w:sz w:val="20"/>
          <w:szCs w:val="20"/>
        </w:rPr>
        <w:t> </w:t>
      </w:r>
      <w:r w:rsidRPr="00DD0CB5">
        <w:rPr>
          <w:rFonts w:ascii="Arial" w:eastAsia="Times New Roman" w:hAnsi="Arial" w:cs="Arial"/>
          <w:color w:val="000000"/>
          <w:sz w:val="20"/>
          <w:szCs w:val="20"/>
        </w:rPr>
        <w:t>Nghị định số 17/2010/NĐ-CP ngày 04/3/2010 của Chính phủ về bán đấu giá tài sản.</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2. Tổ chức, cá nhân có tài sản bán đấu giá theo quy định tại Nghị định số 17/2010/NĐ-CP ngày 04/3/2010 phải nộp phí đấu giá tài sản cho tổ chức bán đấu giá chuyên nghiệp, trừ trường hợp bán đấu giá tang vật, phương tiện vi phạm hành chính bị tịch thu sung quỹ nhà nước, đấu giá quyền sử dụng đất để giao đất có thu tiền sử dụng đất hoặc cho thuê đất và các trường hợp do Hội đồng bán đấu giá tài sản thực hiện.</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xml:space="preserve">3. Tổ chức, cá nhân tham gia đấu giá </w:t>
      </w:r>
      <w:proofErr w:type="gramStart"/>
      <w:r w:rsidRPr="00DD0CB5">
        <w:rPr>
          <w:rFonts w:ascii="Arial" w:eastAsia="Times New Roman" w:hAnsi="Arial" w:cs="Arial"/>
          <w:color w:val="000000"/>
          <w:sz w:val="20"/>
          <w:szCs w:val="20"/>
        </w:rPr>
        <w:t>theo</w:t>
      </w:r>
      <w:proofErr w:type="gramEnd"/>
      <w:r w:rsidRPr="00DD0CB5">
        <w:rPr>
          <w:rFonts w:ascii="Arial" w:eastAsia="Times New Roman" w:hAnsi="Arial" w:cs="Arial"/>
          <w:color w:val="000000"/>
          <w:sz w:val="20"/>
          <w:szCs w:val="20"/>
        </w:rPr>
        <w:t xml:space="preserve"> quy định tại Nghị định số 17/2010/NĐ-CP ngày 04/3/2010 phải nộp phí tham gia đấu giá tài sản cho tổ chức bán đấu giá chuyên nghiệp hoặc Hội đồng bán đấu giá tài sản.</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lastRenderedPageBreak/>
        <w:t>4. Người được cấp Chứng chỉ hành nghề đấu giá phải nộp lệ phí cấp Chứng chỉ hành nghề đấu giá cho cơ quan cấp Chứng chỉ hành nghề đấu giá.</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proofErr w:type="gramStart"/>
      <w:r w:rsidRPr="00DD0CB5">
        <w:rPr>
          <w:rFonts w:ascii="Arial" w:eastAsia="Times New Roman" w:hAnsi="Arial" w:cs="Arial"/>
          <w:b/>
          <w:bCs/>
          <w:color w:val="000000"/>
          <w:sz w:val="20"/>
          <w:szCs w:val="20"/>
        </w:rPr>
        <w:t>Điều 2.</w:t>
      </w:r>
      <w:proofErr w:type="gramEnd"/>
      <w:r w:rsidRPr="00DD0CB5">
        <w:rPr>
          <w:rFonts w:ascii="Arial" w:eastAsia="Times New Roman" w:hAnsi="Arial" w:cs="Arial"/>
          <w:b/>
          <w:bCs/>
          <w:color w:val="000000"/>
          <w:sz w:val="20"/>
          <w:szCs w:val="20"/>
        </w:rPr>
        <w:t xml:space="preserve"> Mức </w:t>
      </w:r>
      <w:proofErr w:type="gramStart"/>
      <w:r w:rsidRPr="00DD0CB5">
        <w:rPr>
          <w:rFonts w:ascii="Arial" w:eastAsia="Times New Roman" w:hAnsi="Arial" w:cs="Arial"/>
          <w:b/>
          <w:bCs/>
          <w:color w:val="000000"/>
          <w:sz w:val="20"/>
          <w:szCs w:val="20"/>
        </w:rPr>
        <w:t>thu</w:t>
      </w:r>
      <w:proofErr w:type="gramEnd"/>
      <w:r w:rsidRPr="00DD0CB5">
        <w:rPr>
          <w:rFonts w:ascii="Arial" w:eastAsia="Times New Roman" w:hAnsi="Arial" w:cs="Arial"/>
          <w:b/>
          <w:bCs/>
          <w:color w:val="000000"/>
          <w:sz w:val="20"/>
          <w:szCs w:val="20"/>
        </w:rPr>
        <w:t xml:space="preserve"> phí, lệ phí</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xml:space="preserve">1. Mức </w:t>
      </w:r>
      <w:proofErr w:type="gramStart"/>
      <w:r w:rsidRPr="00DD0CB5">
        <w:rPr>
          <w:rFonts w:ascii="Arial" w:eastAsia="Times New Roman" w:hAnsi="Arial" w:cs="Arial"/>
          <w:color w:val="000000"/>
          <w:sz w:val="20"/>
          <w:szCs w:val="20"/>
        </w:rPr>
        <w:t>thu</w:t>
      </w:r>
      <w:proofErr w:type="gramEnd"/>
      <w:r w:rsidRPr="00DD0CB5">
        <w:rPr>
          <w:rFonts w:ascii="Arial" w:eastAsia="Times New Roman" w:hAnsi="Arial" w:cs="Arial"/>
          <w:color w:val="000000"/>
          <w:sz w:val="20"/>
          <w:szCs w:val="20"/>
        </w:rPr>
        <w:t xml:space="preserve"> phí đấu giá tài sản:</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xml:space="preserve">a. Trường hợp bán đấu giá tài sản thành thì mức </w:t>
      </w:r>
      <w:proofErr w:type="gramStart"/>
      <w:r w:rsidRPr="00DD0CB5">
        <w:rPr>
          <w:rFonts w:ascii="Arial" w:eastAsia="Times New Roman" w:hAnsi="Arial" w:cs="Arial"/>
          <w:color w:val="000000"/>
          <w:sz w:val="20"/>
          <w:szCs w:val="20"/>
        </w:rPr>
        <w:t>thu</w:t>
      </w:r>
      <w:proofErr w:type="gramEnd"/>
      <w:r w:rsidRPr="00DD0CB5">
        <w:rPr>
          <w:rFonts w:ascii="Arial" w:eastAsia="Times New Roman" w:hAnsi="Arial" w:cs="Arial"/>
          <w:color w:val="000000"/>
          <w:sz w:val="20"/>
          <w:szCs w:val="20"/>
        </w:rPr>
        <w:t xml:space="preserve"> phí được tính trên giá trị tài sản bán được của một cuộc bán đấu giá, theo quy định như sau:</w:t>
      </w:r>
    </w:p>
    <w:p w:rsidR="00DD0CB5" w:rsidRPr="00DD0CB5" w:rsidRDefault="00DD0CB5" w:rsidP="00DD0CB5">
      <w:pPr>
        <w:shd w:val="clear" w:color="auto" w:fill="FFFFFF"/>
        <w:spacing w:before="240" w:after="120" w:line="240" w:lineRule="auto"/>
        <w:ind w:firstLine="720"/>
        <w:jc w:val="both"/>
        <w:rPr>
          <w:rFonts w:ascii="Times New Roman" w:eastAsia="Times New Roman" w:hAnsi="Times New Roman" w:cs="Times New Roman"/>
          <w:color w:val="000000"/>
          <w:sz w:val="24"/>
          <w:szCs w:val="24"/>
        </w:rPr>
      </w:pPr>
      <w:r w:rsidRPr="00DD0CB5">
        <w:rPr>
          <w:rFonts w:ascii="Times New Roman" w:eastAsia="Times New Roman" w:hAnsi="Times New Roman" w:cs="Times New Roman"/>
          <w:color w:val="000000"/>
          <w:sz w:val="24"/>
          <w:szCs w:val="24"/>
        </w:rPr>
        <w:t>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Description w:val="table"/>
      </w:tblPr>
      <w:tblGrid>
        <w:gridCol w:w="435"/>
        <w:gridCol w:w="3285"/>
        <w:gridCol w:w="5040"/>
      </w:tblGrid>
      <w:tr w:rsidR="00DD0CB5" w:rsidRPr="00DD0CB5" w:rsidTr="00DD0CB5">
        <w:tc>
          <w:tcPr>
            <w:tcW w:w="43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b/>
                <w:bCs/>
                <w:color w:val="000000"/>
                <w:sz w:val="20"/>
                <w:szCs w:val="20"/>
              </w:rPr>
              <w:t>TT</w:t>
            </w:r>
          </w:p>
        </w:tc>
        <w:tc>
          <w:tcPr>
            <w:tcW w:w="328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ind w:left="32"/>
              <w:jc w:val="center"/>
              <w:rPr>
                <w:rFonts w:ascii="Times New Roman" w:eastAsia="Times New Roman" w:hAnsi="Times New Roman" w:cs="Times New Roman"/>
                <w:color w:val="000000"/>
                <w:sz w:val="24"/>
                <w:szCs w:val="24"/>
              </w:rPr>
            </w:pPr>
            <w:r w:rsidRPr="00DD0CB5">
              <w:rPr>
                <w:rFonts w:ascii="Arial" w:eastAsia="Times New Roman" w:hAnsi="Arial" w:cs="Arial"/>
                <w:b/>
                <w:bCs/>
                <w:color w:val="000000"/>
                <w:sz w:val="20"/>
                <w:szCs w:val="20"/>
              </w:rPr>
              <w:t>Giá trị tài sản bán được của một cuộc bán đấu giá</w:t>
            </w:r>
          </w:p>
        </w:tc>
        <w:tc>
          <w:tcPr>
            <w:tcW w:w="5040" w:type="dxa"/>
            <w:tcBorders>
              <w:bottom w:val="single" w:sz="6" w:space="0" w:color="000000"/>
            </w:tcBorders>
            <w:shd w:val="clear" w:color="auto" w:fill="FFFFFF"/>
            <w:vAlign w:val="center"/>
            <w:hideMark/>
          </w:tcPr>
          <w:p w:rsidR="00DD0CB5" w:rsidRPr="00DD0CB5" w:rsidRDefault="00DD0CB5" w:rsidP="00DD0CB5">
            <w:pPr>
              <w:spacing w:before="240" w:after="0" w:line="240" w:lineRule="auto"/>
              <w:ind w:left="32"/>
              <w:jc w:val="center"/>
              <w:rPr>
                <w:rFonts w:ascii="Times New Roman" w:eastAsia="Times New Roman" w:hAnsi="Times New Roman" w:cs="Times New Roman"/>
                <w:color w:val="000000"/>
                <w:sz w:val="24"/>
                <w:szCs w:val="24"/>
              </w:rPr>
            </w:pPr>
            <w:r w:rsidRPr="00DD0CB5">
              <w:rPr>
                <w:rFonts w:ascii="Arial" w:eastAsia="Times New Roman" w:hAnsi="Arial" w:cs="Arial"/>
                <w:b/>
                <w:bCs/>
                <w:color w:val="000000"/>
                <w:sz w:val="20"/>
                <w:szCs w:val="20"/>
              </w:rPr>
              <w:t>Mức thu</w:t>
            </w:r>
          </w:p>
        </w:tc>
      </w:tr>
      <w:tr w:rsidR="00DD0CB5" w:rsidRPr="00DD0CB5" w:rsidTr="00DD0CB5">
        <w:tc>
          <w:tcPr>
            <w:tcW w:w="43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1</w:t>
            </w:r>
          </w:p>
        </w:tc>
        <w:tc>
          <w:tcPr>
            <w:tcW w:w="328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ind w:left="34"/>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Dưới 50 triệu đồng</w:t>
            </w:r>
          </w:p>
        </w:tc>
        <w:tc>
          <w:tcPr>
            <w:tcW w:w="5040" w:type="dxa"/>
            <w:tcBorders>
              <w:bottom w:val="single" w:sz="6" w:space="0" w:color="000000"/>
            </w:tcBorders>
            <w:shd w:val="clear" w:color="auto" w:fill="FFFFFF"/>
            <w:vAlign w:val="center"/>
            <w:hideMark/>
          </w:tcPr>
          <w:p w:rsidR="00DD0CB5" w:rsidRPr="00DD0CB5" w:rsidRDefault="00DD0CB5" w:rsidP="00DD0CB5">
            <w:pPr>
              <w:spacing w:before="240" w:after="0" w:line="240" w:lineRule="auto"/>
              <w:ind w:left="34"/>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5% giá trị tài sản bán được</w:t>
            </w:r>
          </w:p>
        </w:tc>
      </w:tr>
      <w:tr w:rsidR="00DD0CB5" w:rsidRPr="00DD0CB5" w:rsidTr="00DD0CB5">
        <w:tc>
          <w:tcPr>
            <w:tcW w:w="43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2</w:t>
            </w:r>
          </w:p>
        </w:tc>
        <w:tc>
          <w:tcPr>
            <w:tcW w:w="328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ind w:left="34"/>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Từ 50 triệu đến 1 tỷ đồng</w:t>
            </w:r>
          </w:p>
        </w:tc>
        <w:tc>
          <w:tcPr>
            <w:tcW w:w="5040" w:type="dxa"/>
            <w:tcBorders>
              <w:bottom w:val="single" w:sz="6" w:space="0" w:color="000000"/>
            </w:tcBorders>
            <w:shd w:val="clear" w:color="auto" w:fill="FFFFFF"/>
            <w:vAlign w:val="center"/>
            <w:hideMark/>
          </w:tcPr>
          <w:p w:rsidR="00DD0CB5" w:rsidRPr="00DD0CB5" w:rsidRDefault="00DD0CB5" w:rsidP="00DD0CB5">
            <w:pPr>
              <w:spacing w:before="240" w:after="0" w:line="240" w:lineRule="auto"/>
              <w:ind w:left="32"/>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2,5 triệu + 1,5% giá trị tài sản bán được quá 50 triệu</w:t>
            </w:r>
          </w:p>
        </w:tc>
      </w:tr>
      <w:tr w:rsidR="00DD0CB5" w:rsidRPr="00DD0CB5" w:rsidTr="00DD0CB5">
        <w:tc>
          <w:tcPr>
            <w:tcW w:w="43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3</w:t>
            </w:r>
          </w:p>
        </w:tc>
        <w:tc>
          <w:tcPr>
            <w:tcW w:w="328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ind w:left="34"/>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Từ trên 1 tỷ đến 10 tỷ đồng</w:t>
            </w:r>
          </w:p>
        </w:tc>
        <w:tc>
          <w:tcPr>
            <w:tcW w:w="5040" w:type="dxa"/>
            <w:tcBorders>
              <w:bottom w:val="single" w:sz="6" w:space="0" w:color="000000"/>
            </w:tcBorders>
            <w:shd w:val="clear" w:color="auto" w:fill="FFFFFF"/>
            <w:vAlign w:val="center"/>
            <w:hideMark/>
          </w:tcPr>
          <w:p w:rsidR="00DD0CB5" w:rsidRPr="00DD0CB5" w:rsidRDefault="00DD0CB5" w:rsidP="00DD0CB5">
            <w:pPr>
              <w:spacing w:before="240" w:after="0" w:line="240" w:lineRule="auto"/>
              <w:ind w:left="32"/>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16,75 triệu + 0,2% giá trị tài sản bán được vượt 1 tỷ</w:t>
            </w:r>
          </w:p>
        </w:tc>
      </w:tr>
      <w:tr w:rsidR="00DD0CB5" w:rsidRPr="00DD0CB5" w:rsidTr="00DD0CB5">
        <w:tc>
          <w:tcPr>
            <w:tcW w:w="43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4</w:t>
            </w:r>
          </w:p>
        </w:tc>
        <w:tc>
          <w:tcPr>
            <w:tcW w:w="328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ind w:left="34"/>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Từ trên 10 tỷ đến 20 tỷ đồng</w:t>
            </w:r>
          </w:p>
        </w:tc>
        <w:tc>
          <w:tcPr>
            <w:tcW w:w="5040" w:type="dxa"/>
            <w:tcBorders>
              <w:bottom w:val="single" w:sz="6" w:space="0" w:color="000000"/>
            </w:tcBorders>
            <w:shd w:val="clear" w:color="auto" w:fill="FFFFFF"/>
            <w:vAlign w:val="center"/>
            <w:hideMark/>
          </w:tcPr>
          <w:p w:rsidR="00DD0CB5" w:rsidRPr="00DD0CB5" w:rsidRDefault="00DD0CB5" w:rsidP="00DD0CB5">
            <w:pPr>
              <w:spacing w:before="240" w:after="0" w:line="240" w:lineRule="auto"/>
              <w:ind w:left="32"/>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34,75 triệu + 0,15% giá trị tài sản bán được vượt 10 tỷ</w:t>
            </w:r>
          </w:p>
        </w:tc>
      </w:tr>
      <w:tr w:rsidR="00DD0CB5" w:rsidRPr="00DD0CB5" w:rsidTr="00DD0CB5">
        <w:tc>
          <w:tcPr>
            <w:tcW w:w="435" w:type="dxa"/>
            <w:tcBorders>
              <w:right w:val="single" w:sz="6" w:space="0" w:color="000000"/>
            </w:tcBorders>
            <w:shd w:val="clear" w:color="auto" w:fill="FFFFFF"/>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5</w:t>
            </w:r>
          </w:p>
        </w:tc>
        <w:tc>
          <w:tcPr>
            <w:tcW w:w="3285" w:type="dxa"/>
            <w:tcBorders>
              <w:right w:val="single" w:sz="6" w:space="0" w:color="000000"/>
            </w:tcBorders>
            <w:shd w:val="clear" w:color="auto" w:fill="FFFFFF"/>
            <w:vAlign w:val="center"/>
            <w:hideMark/>
          </w:tcPr>
          <w:p w:rsidR="00DD0CB5" w:rsidRPr="00DD0CB5" w:rsidRDefault="00DD0CB5" w:rsidP="00DD0CB5">
            <w:pPr>
              <w:spacing w:before="240" w:after="0" w:line="240" w:lineRule="auto"/>
              <w:ind w:left="34"/>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Từ trên 20 tỷ đồng</w:t>
            </w:r>
          </w:p>
        </w:tc>
        <w:tc>
          <w:tcPr>
            <w:tcW w:w="5040" w:type="dxa"/>
            <w:shd w:val="clear" w:color="auto" w:fill="FFFFFF"/>
            <w:vAlign w:val="center"/>
            <w:hideMark/>
          </w:tcPr>
          <w:p w:rsidR="00DD0CB5" w:rsidRPr="00DD0CB5" w:rsidRDefault="00DD0CB5" w:rsidP="00DD0CB5">
            <w:pPr>
              <w:spacing w:before="240" w:after="0" w:line="240" w:lineRule="auto"/>
              <w:ind w:left="32"/>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49</w:t>
            </w:r>
            <w:proofErr w:type="gramStart"/>
            <w:r w:rsidRPr="00DD0CB5">
              <w:rPr>
                <w:rFonts w:ascii="Arial" w:eastAsia="Times New Roman" w:hAnsi="Arial" w:cs="Arial"/>
                <w:color w:val="000000"/>
                <w:sz w:val="20"/>
                <w:szCs w:val="20"/>
              </w:rPr>
              <w:t>,75</w:t>
            </w:r>
            <w:proofErr w:type="gramEnd"/>
            <w:r w:rsidRPr="00DD0CB5">
              <w:rPr>
                <w:rFonts w:ascii="Arial" w:eastAsia="Times New Roman" w:hAnsi="Arial" w:cs="Arial"/>
                <w:color w:val="000000"/>
                <w:sz w:val="20"/>
                <w:szCs w:val="20"/>
              </w:rPr>
              <w:t xml:space="preserve"> triệu + 0,1% giá trị tài sản bán được vượt 20 tỷ. Tổng số phí không quá 300 triệu/cuộc đấu giá</w:t>
            </w:r>
          </w:p>
        </w:tc>
      </w:tr>
    </w:tbl>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b. Trường hợp bán đấu giá tài sản không thành thì trong thời hạn 7 ngày kể từ ngày kết thúc phiên đấu giá, người có tài sản bán đấu giá, cơ quan thi hành án, cơ quan tài chính thanh toán cho tổ chức bán đấu giá tài sản, Hội đồng bán đấu giá tài sản các chi phí thực tế, hợp lý quy định tại Điều 43 Nghị định số 17/2010/NĐ-CP ngày 04/3/2010, trừ trường hợp các bên có thoả thuận hoặc pháp luật có quy định khác.</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DD0CB5">
        <w:rPr>
          <w:rFonts w:ascii="Arial" w:eastAsia="Times New Roman" w:hAnsi="Arial" w:cs="Arial"/>
          <w:color w:val="000000"/>
          <w:sz w:val="20"/>
          <w:szCs w:val="20"/>
        </w:rPr>
        <w:t xml:space="preserve">2. Mức </w:t>
      </w:r>
      <w:proofErr w:type="gramStart"/>
      <w:r w:rsidRPr="00DD0CB5">
        <w:rPr>
          <w:rFonts w:ascii="Arial" w:eastAsia="Times New Roman" w:hAnsi="Arial" w:cs="Arial"/>
          <w:color w:val="000000"/>
          <w:sz w:val="20"/>
          <w:szCs w:val="20"/>
        </w:rPr>
        <w:t>thu</w:t>
      </w:r>
      <w:proofErr w:type="gramEnd"/>
      <w:r w:rsidRPr="00DD0CB5">
        <w:rPr>
          <w:rFonts w:ascii="Arial" w:eastAsia="Times New Roman" w:hAnsi="Arial" w:cs="Arial"/>
          <w:color w:val="000000"/>
          <w:sz w:val="20"/>
          <w:szCs w:val="20"/>
        </w:rPr>
        <w:t xml:space="preserve"> phí tham gia đấu giá tài sản</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DD0CB5">
        <w:rPr>
          <w:rFonts w:ascii="Arial" w:eastAsia="Times New Roman" w:hAnsi="Arial" w:cs="Arial"/>
          <w:color w:val="000000"/>
          <w:sz w:val="20"/>
          <w:szCs w:val="20"/>
        </w:rPr>
        <w:t xml:space="preserve">Mức </w:t>
      </w:r>
      <w:proofErr w:type="gramStart"/>
      <w:r w:rsidRPr="00DD0CB5">
        <w:rPr>
          <w:rFonts w:ascii="Arial" w:eastAsia="Times New Roman" w:hAnsi="Arial" w:cs="Arial"/>
          <w:color w:val="000000"/>
          <w:sz w:val="20"/>
          <w:szCs w:val="20"/>
        </w:rPr>
        <w:t>thu</w:t>
      </w:r>
      <w:proofErr w:type="gramEnd"/>
      <w:r w:rsidRPr="00DD0CB5">
        <w:rPr>
          <w:rFonts w:ascii="Arial" w:eastAsia="Times New Roman" w:hAnsi="Arial" w:cs="Arial"/>
          <w:color w:val="000000"/>
          <w:sz w:val="20"/>
          <w:szCs w:val="20"/>
        </w:rPr>
        <w:t xml:space="preserve"> phí tham gia đấu giá tài sản được quy định tương ứng với giá khởi điểm của tài sản bán đấu giá theo quy định như sau:</w:t>
      </w:r>
    </w:p>
    <w:p w:rsidR="00DD0CB5" w:rsidRPr="00DD0CB5" w:rsidRDefault="00DD0CB5" w:rsidP="00DD0CB5">
      <w:pPr>
        <w:shd w:val="clear" w:color="auto" w:fill="FFFFFF"/>
        <w:spacing w:before="240" w:after="120" w:line="240" w:lineRule="auto"/>
        <w:ind w:firstLine="720"/>
        <w:jc w:val="both"/>
        <w:rPr>
          <w:rFonts w:ascii="Times New Roman" w:eastAsia="Times New Roman" w:hAnsi="Times New Roman" w:cs="Times New Roman"/>
          <w:color w:val="000000"/>
          <w:sz w:val="24"/>
          <w:szCs w:val="24"/>
        </w:rPr>
      </w:pPr>
      <w:r w:rsidRPr="00DD0CB5">
        <w:rPr>
          <w:rFonts w:ascii="Times New Roman" w:eastAsia="Times New Roman" w:hAnsi="Times New Roman" w:cs="Times New Roman"/>
          <w:color w:val="000000"/>
          <w:sz w:val="24"/>
          <w:szCs w:val="24"/>
        </w:rPr>
        <w:t>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Description w:val="table"/>
      </w:tblPr>
      <w:tblGrid>
        <w:gridCol w:w="585"/>
        <w:gridCol w:w="4815"/>
        <w:gridCol w:w="2640"/>
      </w:tblGrid>
      <w:tr w:rsidR="00DD0CB5" w:rsidRPr="00DD0CB5" w:rsidTr="00DD0CB5">
        <w:tc>
          <w:tcPr>
            <w:tcW w:w="585" w:type="dxa"/>
            <w:tcBorders>
              <w:bottom w:val="single" w:sz="6" w:space="0" w:color="000000"/>
              <w:right w:val="single" w:sz="6" w:space="0" w:color="000000"/>
            </w:tcBorders>
            <w:shd w:val="clear" w:color="auto" w:fill="CCFFCC"/>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b/>
                <w:bCs/>
                <w:color w:val="000000"/>
                <w:sz w:val="20"/>
                <w:szCs w:val="20"/>
              </w:rPr>
              <w:t>TT</w:t>
            </w:r>
          </w:p>
        </w:tc>
        <w:tc>
          <w:tcPr>
            <w:tcW w:w="4815" w:type="dxa"/>
            <w:tcBorders>
              <w:bottom w:val="single" w:sz="6" w:space="0" w:color="000000"/>
              <w:right w:val="single" w:sz="6" w:space="0" w:color="000000"/>
            </w:tcBorders>
            <w:shd w:val="clear" w:color="auto" w:fill="CCFFCC"/>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b/>
                <w:bCs/>
                <w:color w:val="000000"/>
                <w:sz w:val="20"/>
                <w:szCs w:val="20"/>
              </w:rPr>
              <w:t>Giá khởi điểm của tài sản</w:t>
            </w:r>
          </w:p>
        </w:tc>
        <w:tc>
          <w:tcPr>
            <w:tcW w:w="2640" w:type="dxa"/>
            <w:tcBorders>
              <w:bottom w:val="single" w:sz="6" w:space="0" w:color="000000"/>
            </w:tcBorders>
            <w:shd w:val="clear" w:color="auto" w:fill="CCFFCC"/>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b/>
                <w:bCs/>
                <w:color w:val="000000"/>
                <w:sz w:val="20"/>
                <w:szCs w:val="20"/>
              </w:rPr>
              <w:t>Mức thu </w:t>
            </w:r>
            <w:r w:rsidRPr="00DD0CB5">
              <w:rPr>
                <w:rFonts w:ascii="Arial" w:eastAsia="Times New Roman" w:hAnsi="Arial" w:cs="Arial"/>
                <w:color w:val="000000"/>
                <w:sz w:val="20"/>
                <w:szCs w:val="20"/>
              </w:rPr>
              <w:t>(đồng/hồ sơ)</w:t>
            </w:r>
          </w:p>
        </w:tc>
      </w:tr>
      <w:tr w:rsidR="00DD0CB5" w:rsidRPr="00DD0CB5" w:rsidTr="00DD0CB5">
        <w:tc>
          <w:tcPr>
            <w:tcW w:w="58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1</w:t>
            </w:r>
          </w:p>
        </w:tc>
        <w:tc>
          <w:tcPr>
            <w:tcW w:w="481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Từ 20 triệu đồng trở xuống</w:t>
            </w:r>
          </w:p>
        </w:tc>
        <w:tc>
          <w:tcPr>
            <w:tcW w:w="2640" w:type="dxa"/>
            <w:tcBorders>
              <w:bottom w:val="single" w:sz="6" w:space="0" w:color="000000"/>
            </w:tcBorders>
            <w:shd w:val="clear" w:color="auto" w:fill="FFFFFF"/>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50.000</w:t>
            </w:r>
          </w:p>
        </w:tc>
      </w:tr>
      <w:tr w:rsidR="00DD0CB5" w:rsidRPr="00DD0CB5" w:rsidTr="00DD0CB5">
        <w:tc>
          <w:tcPr>
            <w:tcW w:w="58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2</w:t>
            </w:r>
          </w:p>
        </w:tc>
        <w:tc>
          <w:tcPr>
            <w:tcW w:w="481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Từ trên 20 triệu đồng đến 50 triệu đồng</w:t>
            </w:r>
          </w:p>
        </w:tc>
        <w:tc>
          <w:tcPr>
            <w:tcW w:w="2640" w:type="dxa"/>
            <w:tcBorders>
              <w:bottom w:val="single" w:sz="6" w:space="0" w:color="000000"/>
            </w:tcBorders>
            <w:shd w:val="clear" w:color="auto" w:fill="FFFFFF"/>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100.000</w:t>
            </w:r>
          </w:p>
        </w:tc>
      </w:tr>
      <w:tr w:rsidR="00DD0CB5" w:rsidRPr="00DD0CB5" w:rsidTr="00DD0CB5">
        <w:tc>
          <w:tcPr>
            <w:tcW w:w="58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3</w:t>
            </w:r>
          </w:p>
        </w:tc>
        <w:tc>
          <w:tcPr>
            <w:tcW w:w="481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Từ trên 50 triệu đồng đến 100 triệu đồng</w:t>
            </w:r>
          </w:p>
        </w:tc>
        <w:tc>
          <w:tcPr>
            <w:tcW w:w="2640" w:type="dxa"/>
            <w:tcBorders>
              <w:bottom w:val="single" w:sz="6" w:space="0" w:color="000000"/>
            </w:tcBorders>
            <w:shd w:val="clear" w:color="auto" w:fill="FFFFFF"/>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150.000</w:t>
            </w:r>
          </w:p>
        </w:tc>
      </w:tr>
      <w:tr w:rsidR="00DD0CB5" w:rsidRPr="00DD0CB5" w:rsidTr="00DD0CB5">
        <w:tc>
          <w:tcPr>
            <w:tcW w:w="58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4</w:t>
            </w:r>
          </w:p>
        </w:tc>
        <w:tc>
          <w:tcPr>
            <w:tcW w:w="4815" w:type="dxa"/>
            <w:tcBorders>
              <w:bottom w:val="single" w:sz="6" w:space="0" w:color="000000"/>
              <w:right w:val="single" w:sz="6" w:space="0" w:color="000000"/>
            </w:tcBorders>
            <w:shd w:val="clear" w:color="auto" w:fill="FFFFFF"/>
            <w:vAlign w:val="center"/>
            <w:hideMark/>
          </w:tcPr>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Từ trên 100 triệu đồng đến 500 triệu đồng</w:t>
            </w:r>
          </w:p>
        </w:tc>
        <w:tc>
          <w:tcPr>
            <w:tcW w:w="2640" w:type="dxa"/>
            <w:tcBorders>
              <w:bottom w:val="single" w:sz="6" w:space="0" w:color="000000"/>
            </w:tcBorders>
            <w:shd w:val="clear" w:color="auto" w:fill="FFFFFF"/>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200.000</w:t>
            </w:r>
          </w:p>
        </w:tc>
      </w:tr>
      <w:tr w:rsidR="00DD0CB5" w:rsidRPr="00DD0CB5" w:rsidTr="00DD0CB5">
        <w:tc>
          <w:tcPr>
            <w:tcW w:w="585" w:type="dxa"/>
            <w:tcBorders>
              <w:right w:val="single" w:sz="6" w:space="0" w:color="000000"/>
            </w:tcBorders>
            <w:shd w:val="clear" w:color="auto" w:fill="FFFFFF"/>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5</w:t>
            </w:r>
          </w:p>
        </w:tc>
        <w:tc>
          <w:tcPr>
            <w:tcW w:w="4815" w:type="dxa"/>
            <w:tcBorders>
              <w:right w:val="single" w:sz="6" w:space="0" w:color="000000"/>
            </w:tcBorders>
            <w:shd w:val="clear" w:color="auto" w:fill="FFFFFF"/>
            <w:vAlign w:val="center"/>
            <w:hideMark/>
          </w:tcPr>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Trên 500 triệu đồng</w:t>
            </w:r>
          </w:p>
        </w:tc>
        <w:tc>
          <w:tcPr>
            <w:tcW w:w="2640" w:type="dxa"/>
            <w:shd w:val="clear" w:color="auto" w:fill="FFFFFF"/>
            <w:vAlign w:val="center"/>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500.000</w:t>
            </w:r>
          </w:p>
        </w:tc>
      </w:tr>
    </w:tbl>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lastRenderedPageBreak/>
        <w:t>3. Tuỳ thuộc vào đặc điểm, điều kiện cụ thể của địa phương, Hội đồng nhân dân tỉnh, thành phố trực thuộc Trung ương quyết định cụ thể mức thu phí</w:t>
      </w:r>
      <w:r w:rsidRPr="00DD0CB5">
        <w:rPr>
          <w:rFonts w:ascii="Arial" w:eastAsia="Times New Roman" w:hAnsi="Arial" w:cs="Arial"/>
          <w:b/>
          <w:bCs/>
          <w:color w:val="000000"/>
          <w:sz w:val="20"/>
          <w:szCs w:val="20"/>
        </w:rPr>
        <w:t> </w:t>
      </w:r>
      <w:r w:rsidRPr="00DD0CB5">
        <w:rPr>
          <w:rFonts w:ascii="Arial" w:eastAsia="Times New Roman" w:hAnsi="Arial" w:cs="Arial"/>
          <w:color w:val="000000"/>
          <w:sz w:val="20"/>
          <w:szCs w:val="20"/>
        </w:rPr>
        <w:t>đấu giá</w:t>
      </w:r>
      <w:r w:rsidRPr="00DD0CB5">
        <w:rPr>
          <w:rFonts w:ascii="Arial" w:eastAsia="Times New Roman" w:hAnsi="Arial" w:cs="Arial"/>
          <w:b/>
          <w:bCs/>
          <w:color w:val="000000"/>
          <w:sz w:val="20"/>
          <w:szCs w:val="20"/>
        </w:rPr>
        <w:t> </w:t>
      </w:r>
      <w:r w:rsidRPr="00DD0CB5">
        <w:rPr>
          <w:rFonts w:ascii="Arial" w:eastAsia="Times New Roman" w:hAnsi="Arial" w:cs="Arial"/>
          <w:color w:val="000000"/>
          <w:sz w:val="20"/>
          <w:szCs w:val="20"/>
        </w:rPr>
        <w:t>tài sản</w:t>
      </w:r>
      <w:r w:rsidRPr="00DD0CB5">
        <w:rPr>
          <w:rFonts w:ascii="Arial" w:eastAsia="Times New Roman" w:hAnsi="Arial" w:cs="Arial"/>
          <w:b/>
          <w:bCs/>
          <w:color w:val="000000"/>
          <w:sz w:val="20"/>
          <w:szCs w:val="20"/>
        </w:rPr>
        <w:t> </w:t>
      </w:r>
      <w:r w:rsidRPr="00DD0CB5">
        <w:rPr>
          <w:rFonts w:ascii="Arial" w:eastAsia="Times New Roman" w:hAnsi="Arial" w:cs="Arial"/>
          <w:color w:val="000000"/>
          <w:sz w:val="20"/>
          <w:szCs w:val="20"/>
        </w:rPr>
        <w:t>và phí tham gia đấu giá</w:t>
      </w:r>
      <w:r w:rsidRPr="00DD0CB5">
        <w:rPr>
          <w:rFonts w:ascii="Arial" w:eastAsia="Times New Roman" w:hAnsi="Arial" w:cs="Arial"/>
          <w:b/>
          <w:bCs/>
          <w:color w:val="000000"/>
          <w:sz w:val="20"/>
          <w:szCs w:val="20"/>
        </w:rPr>
        <w:t> </w:t>
      </w:r>
      <w:r w:rsidRPr="00DD0CB5">
        <w:rPr>
          <w:rFonts w:ascii="Arial" w:eastAsia="Times New Roman" w:hAnsi="Arial" w:cs="Arial"/>
          <w:color w:val="000000"/>
          <w:sz w:val="20"/>
          <w:szCs w:val="20"/>
        </w:rPr>
        <w:t>tài sản</w:t>
      </w:r>
      <w:r w:rsidRPr="00DD0CB5">
        <w:rPr>
          <w:rFonts w:ascii="Arial" w:eastAsia="Times New Roman" w:hAnsi="Arial" w:cs="Arial"/>
          <w:b/>
          <w:bCs/>
          <w:color w:val="000000"/>
          <w:sz w:val="20"/>
          <w:szCs w:val="20"/>
        </w:rPr>
        <w:t> </w:t>
      </w:r>
      <w:r w:rsidRPr="00DD0CB5">
        <w:rPr>
          <w:rFonts w:ascii="Arial" w:eastAsia="Times New Roman" w:hAnsi="Arial" w:cs="Arial"/>
          <w:color w:val="000000"/>
          <w:sz w:val="20"/>
          <w:szCs w:val="20"/>
        </w:rPr>
        <w:t>áp dụng cho phù hợp nhưng không vượt quá mức thu tại khoản 1, khoản 2 Điều 2 của Thông tư này.</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4. Lệ phí</w:t>
      </w:r>
      <w:r w:rsidRPr="00DD0CB5">
        <w:rPr>
          <w:rFonts w:ascii="Arial" w:eastAsia="Times New Roman" w:hAnsi="Arial" w:cs="Arial"/>
          <w:b/>
          <w:bCs/>
          <w:color w:val="000000"/>
          <w:sz w:val="20"/>
          <w:szCs w:val="20"/>
        </w:rPr>
        <w:t> cấp Chứng chỉ hành nghề đấu giá tài sản:</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b/>
          <w:bCs/>
          <w:color w:val="000000"/>
          <w:sz w:val="20"/>
          <w:szCs w:val="20"/>
        </w:rPr>
        <w:t>- Lệ phí cấp Chứng chỉ hành nghề đấu giá là 200.000 đồng/1lần cấp.</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b/>
          <w:bCs/>
          <w:color w:val="000000"/>
          <w:sz w:val="28"/>
          <w:szCs w:val="28"/>
        </w:rPr>
      </w:pPr>
      <w:r w:rsidRPr="00DD0CB5">
        <w:rPr>
          <w:rFonts w:ascii="Arial" w:eastAsia="Times New Roman" w:hAnsi="Arial" w:cs="Arial"/>
          <w:color w:val="000000"/>
          <w:sz w:val="20"/>
          <w:szCs w:val="20"/>
        </w:rPr>
        <w:t>- Lệ phí cấp lại Chứng chỉ hành nghề đấu giá là 100.000 đồng/1lần cấp.</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proofErr w:type="gramStart"/>
      <w:r w:rsidRPr="00DD0CB5">
        <w:rPr>
          <w:rFonts w:ascii="Arial" w:eastAsia="Times New Roman" w:hAnsi="Arial" w:cs="Arial"/>
          <w:b/>
          <w:bCs/>
          <w:color w:val="000000"/>
          <w:sz w:val="20"/>
          <w:szCs w:val="20"/>
        </w:rPr>
        <w:t>Điều 3.</w:t>
      </w:r>
      <w:proofErr w:type="gramEnd"/>
      <w:r w:rsidRPr="00DD0CB5">
        <w:rPr>
          <w:rFonts w:ascii="Arial" w:eastAsia="Times New Roman" w:hAnsi="Arial" w:cs="Arial"/>
          <w:b/>
          <w:bCs/>
          <w:color w:val="000000"/>
          <w:sz w:val="20"/>
          <w:szCs w:val="20"/>
        </w:rPr>
        <w:t xml:space="preserve"> Quản lý và sử dụng phí, lệ phí</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Việc quản lý và sử dụng phí, lệ phí được thực hiện như sau:</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xml:space="preserve">1. Hội đồng bán đấu giá tài sản được sử dụng số tiền phí </w:t>
      </w:r>
      <w:proofErr w:type="gramStart"/>
      <w:r w:rsidRPr="00DD0CB5">
        <w:rPr>
          <w:rFonts w:ascii="Arial" w:eastAsia="Times New Roman" w:hAnsi="Arial" w:cs="Arial"/>
          <w:color w:val="000000"/>
          <w:sz w:val="20"/>
          <w:szCs w:val="20"/>
        </w:rPr>
        <w:t>thu</w:t>
      </w:r>
      <w:proofErr w:type="gramEnd"/>
      <w:r w:rsidRPr="00DD0CB5">
        <w:rPr>
          <w:rFonts w:ascii="Arial" w:eastAsia="Times New Roman" w:hAnsi="Arial" w:cs="Arial"/>
          <w:color w:val="000000"/>
          <w:sz w:val="20"/>
          <w:szCs w:val="20"/>
        </w:rPr>
        <w:t xml:space="preserve"> được của người tham gia đấu giá để trang trải các chi phí cho Hội đồng đấu giá tài sản, nếu thừa nộp vào ngân sách nhà nước.</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xml:space="preserve">2. Trung tâm dịch vụ bán đấu giá tài sản quản lý và sử dụng phí đấu giá tài sản, phí tham gia đấu giá tài sản </w:t>
      </w:r>
      <w:proofErr w:type="gramStart"/>
      <w:r w:rsidRPr="00DD0CB5">
        <w:rPr>
          <w:rFonts w:ascii="Arial" w:eastAsia="Times New Roman" w:hAnsi="Arial" w:cs="Arial"/>
          <w:color w:val="000000"/>
          <w:sz w:val="20"/>
          <w:szCs w:val="20"/>
        </w:rPr>
        <w:t>thu</w:t>
      </w:r>
      <w:proofErr w:type="gramEnd"/>
      <w:r w:rsidRPr="00DD0CB5">
        <w:rPr>
          <w:rFonts w:ascii="Arial" w:eastAsia="Times New Roman" w:hAnsi="Arial" w:cs="Arial"/>
          <w:color w:val="000000"/>
          <w:sz w:val="20"/>
          <w:szCs w:val="20"/>
        </w:rPr>
        <w:t xml:space="preserve"> được như sau:</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xml:space="preserve">Trường hợp Trung tâm dịch vụ bán đấu giá đã được ngân sách nhà nước bảo đảm kinh phí cho việc bán đấu giá thì phải nộp toàn bộ số tiền phí </w:t>
      </w:r>
      <w:proofErr w:type="gramStart"/>
      <w:r w:rsidRPr="00DD0CB5">
        <w:rPr>
          <w:rFonts w:ascii="Arial" w:eastAsia="Times New Roman" w:hAnsi="Arial" w:cs="Arial"/>
          <w:color w:val="000000"/>
          <w:sz w:val="20"/>
          <w:szCs w:val="20"/>
        </w:rPr>
        <w:t>thu</w:t>
      </w:r>
      <w:proofErr w:type="gramEnd"/>
      <w:r w:rsidRPr="00DD0CB5">
        <w:rPr>
          <w:rFonts w:ascii="Arial" w:eastAsia="Times New Roman" w:hAnsi="Arial" w:cs="Arial"/>
          <w:color w:val="000000"/>
          <w:sz w:val="20"/>
          <w:szCs w:val="20"/>
        </w:rPr>
        <w:t xml:space="preserve"> được vào ngân sách nhà nước theo quy định của pháp luật hiện hành.</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Trường hợp Trung tâm dịch vụ bán đấu giá chưa được ngân sách nhà nước bảo đảm kinh phí cho việc tổ chức bán đấu giá thì được để lại một phần số tiền phí thu được để trang trải cho việc bán đấu giá và thu phí theo quy định của pháp luật; phần tiền phí còn lại phải nộp vào ngân sách nhà nước.</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Căn cứ vào mức thu phí đấu giá, phí tham gia đấu giá áp dụng tại địa phương và tình hình hoạt động của Trung tâm dịch vụ bán đấu giá, Hội đồng nhân dân tỉnh, thành phố trực thuộc Trung ương quyết định tỷ lệ phần trăm trích lại trên số tiền phí đấu giá, phí tham gia đấu giá thu được cho đơn vị thu phí để trang trải cho việc tổ chức bán đấu giá và thu phí.</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xml:space="preserve">3. Đối với đơn vị </w:t>
      </w:r>
      <w:proofErr w:type="gramStart"/>
      <w:r w:rsidRPr="00DD0CB5">
        <w:rPr>
          <w:rFonts w:ascii="Arial" w:eastAsia="Times New Roman" w:hAnsi="Arial" w:cs="Arial"/>
          <w:color w:val="000000"/>
          <w:sz w:val="20"/>
          <w:szCs w:val="20"/>
        </w:rPr>
        <w:t>thu</w:t>
      </w:r>
      <w:proofErr w:type="gramEnd"/>
      <w:r w:rsidRPr="00DD0CB5">
        <w:rPr>
          <w:rFonts w:ascii="Arial" w:eastAsia="Times New Roman" w:hAnsi="Arial" w:cs="Arial"/>
          <w:color w:val="000000"/>
          <w:sz w:val="20"/>
          <w:szCs w:val="20"/>
        </w:rPr>
        <w:t xml:space="preserve"> phí là doanh nghiệp bán đấu giá tài sản (trừ đấu giá quyền sử dụng đất): Phí đấu giá, phí tham gia đấu giá thu được là khoản thu không thuộc ngân sách nhà nước. Đơn vị </w:t>
      </w:r>
      <w:proofErr w:type="gramStart"/>
      <w:r w:rsidRPr="00DD0CB5">
        <w:rPr>
          <w:rFonts w:ascii="Arial" w:eastAsia="Times New Roman" w:hAnsi="Arial" w:cs="Arial"/>
          <w:color w:val="000000"/>
          <w:sz w:val="20"/>
          <w:szCs w:val="20"/>
        </w:rPr>
        <w:t>thu</w:t>
      </w:r>
      <w:proofErr w:type="gramEnd"/>
      <w:r w:rsidRPr="00DD0CB5">
        <w:rPr>
          <w:rFonts w:ascii="Arial" w:eastAsia="Times New Roman" w:hAnsi="Arial" w:cs="Arial"/>
          <w:color w:val="000000"/>
          <w:sz w:val="20"/>
          <w:szCs w:val="20"/>
        </w:rPr>
        <w:t xml:space="preserve"> phí có nghĩa vụ nộp thuế theo quy định của pháp luật đối với số phí thu được và có quyền quản lý, sử dụng số tiền thu phí sau khi đã nộp thuế theo quy định của pháp luật. Hàng năm, đơn vị </w:t>
      </w:r>
      <w:proofErr w:type="gramStart"/>
      <w:r w:rsidRPr="00DD0CB5">
        <w:rPr>
          <w:rFonts w:ascii="Arial" w:eastAsia="Times New Roman" w:hAnsi="Arial" w:cs="Arial"/>
          <w:color w:val="000000"/>
          <w:sz w:val="20"/>
          <w:szCs w:val="20"/>
        </w:rPr>
        <w:t>thu</w:t>
      </w:r>
      <w:proofErr w:type="gramEnd"/>
      <w:r w:rsidRPr="00DD0CB5">
        <w:rPr>
          <w:rFonts w:ascii="Arial" w:eastAsia="Times New Roman" w:hAnsi="Arial" w:cs="Arial"/>
          <w:color w:val="000000"/>
          <w:sz w:val="20"/>
          <w:szCs w:val="20"/>
        </w:rPr>
        <w:t xml:space="preserve"> phí phải thực hiện quyết toán thuế đối với số tiền phí thu được với cơ quan thuế theo quy định của pháp luật về thuế hiện hành.</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xml:space="preserve">4. Cơ quan </w:t>
      </w:r>
      <w:proofErr w:type="gramStart"/>
      <w:r w:rsidRPr="00DD0CB5">
        <w:rPr>
          <w:rFonts w:ascii="Arial" w:eastAsia="Times New Roman" w:hAnsi="Arial" w:cs="Arial"/>
          <w:color w:val="000000"/>
          <w:sz w:val="20"/>
          <w:szCs w:val="20"/>
        </w:rPr>
        <w:t>thu</w:t>
      </w:r>
      <w:proofErr w:type="gramEnd"/>
      <w:r w:rsidRPr="00DD0CB5">
        <w:rPr>
          <w:rFonts w:ascii="Arial" w:eastAsia="Times New Roman" w:hAnsi="Arial" w:cs="Arial"/>
          <w:color w:val="000000"/>
          <w:sz w:val="20"/>
          <w:szCs w:val="20"/>
        </w:rPr>
        <w:t xml:space="preserve"> lệ phí cấp Chứng chỉ hành nghề đấu giá nộp toàn bộ số tiền lệ phí thu được vào ngân sách nhà nước.</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5. Các nội dung liên quan đến việc thu, nộp, quản lý, sử dụng, công khai chế độ thu phí không hướng dẫn tại Thông tư này được thực hiện theo hướng dẫn tại Thông tư số 63/2002/TT-BTC ngày 24/7/2002 của Bộ Tài chính hướng dẫn thực hiện các quy định pháp luật về phí, lệ phí; Thông tư số 45/2006/TT-BTC ngày 25/5/2006 của Bộ Tài chính sửa đổi, bổ sung Thông tư số 63/2002/TT-BTC ngày 24/7/2002; Thông tư số 28/2011/TT-BTC ngày 28/2/2011 của Bộ Tài chính </w:t>
      </w:r>
      <w:r w:rsidRPr="00DD0CB5">
        <w:rPr>
          <w:rFonts w:ascii="Arial" w:eastAsia="Times New Roman" w:hAnsi="Arial" w:cs="Arial"/>
          <w:color w:val="000000"/>
          <w:spacing w:val="6"/>
          <w:sz w:val="20"/>
          <w:szCs w:val="20"/>
        </w:rPr>
        <w:t>hướng dẫn thi hành một số điều của Luật Quản lý thuế, hướng dẫn thi hành Nghị định số 85/2007/NĐ-CP ngày 25/5/2007 và Nghị định số 106/2010/NĐ-CP ngày 28/10/2010 của Chính phủ.</w:t>
      </w:r>
    </w:p>
    <w:p w:rsidR="00DD0CB5" w:rsidRPr="00DD0CB5" w:rsidRDefault="00DD0CB5" w:rsidP="00DD0CB5">
      <w:pPr>
        <w:shd w:val="clear" w:color="auto" w:fill="FFFFFF"/>
        <w:spacing w:before="240" w:after="0" w:line="240" w:lineRule="auto"/>
        <w:ind w:firstLine="720"/>
        <w:jc w:val="both"/>
        <w:rPr>
          <w:rFonts w:ascii="Arial" w:eastAsia="Times New Roman" w:hAnsi="Arial" w:cs="Arial"/>
          <w:color w:val="000000"/>
          <w:sz w:val="28"/>
          <w:szCs w:val="28"/>
        </w:rPr>
      </w:pPr>
      <w:proofErr w:type="gramStart"/>
      <w:r w:rsidRPr="00DD0CB5">
        <w:rPr>
          <w:rFonts w:ascii="Arial" w:eastAsia="Times New Roman" w:hAnsi="Arial" w:cs="Arial"/>
          <w:b/>
          <w:bCs/>
          <w:color w:val="000000"/>
          <w:sz w:val="20"/>
          <w:szCs w:val="20"/>
        </w:rPr>
        <w:t>Điều 4.</w:t>
      </w:r>
      <w:proofErr w:type="gramEnd"/>
      <w:r w:rsidRPr="00DD0CB5">
        <w:rPr>
          <w:rFonts w:ascii="Arial" w:eastAsia="Times New Roman" w:hAnsi="Arial" w:cs="Arial"/>
          <w:color w:val="000000"/>
          <w:sz w:val="20"/>
          <w:szCs w:val="20"/>
        </w:rPr>
        <w:t> </w:t>
      </w:r>
      <w:r w:rsidRPr="00DD0CB5">
        <w:rPr>
          <w:rFonts w:ascii="Arial" w:eastAsia="Times New Roman" w:hAnsi="Arial" w:cs="Arial"/>
          <w:b/>
          <w:bCs/>
          <w:color w:val="000000"/>
          <w:sz w:val="20"/>
          <w:szCs w:val="20"/>
        </w:rPr>
        <w:t>Tổ chức thực hiện</w:t>
      </w:r>
    </w:p>
    <w:p w:rsidR="00DD0CB5" w:rsidRPr="00DD0CB5" w:rsidRDefault="00DD0CB5" w:rsidP="00DD0CB5">
      <w:pPr>
        <w:shd w:val="clear" w:color="auto" w:fill="FFFFFF"/>
        <w:spacing w:before="240" w:after="0" w:line="240" w:lineRule="auto"/>
        <w:ind w:firstLine="720"/>
        <w:jc w:val="both"/>
        <w:rPr>
          <w:rFonts w:ascii="Arial" w:eastAsia="Times New Roman" w:hAnsi="Arial" w:cs="Arial"/>
          <w:color w:val="000000"/>
          <w:sz w:val="28"/>
          <w:szCs w:val="28"/>
        </w:rPr>
      </w:pPr>
      <w:r w:rsidRPr="00DD0CB5">
        <w:rPr>
          <w:rFonts w:ascii="Arial" w:eastAsia="Times New Roman" w:hAnsi="Arial" w:cs="Arial"/>
          <w:color w:val="000000"/>
          <w:sz w:val="20"/>
          <w:szCs w:val="20"/>
        </w:rPr>
        <w:lastRenderedPageBreak/>
        <w:t xml:space="preserve">1. Thông tư này có hiệu lực thi hành kể từ ngày 01 tháng 03 năm 2012. Thông tư này thay thế Thông tư số 96/2006/TT-BTC ngày 16/10/2006 của Bộ Tài chính hướng dẫn về mức </w:t>
      </w:r>
      <w:proofErr w:type="gramStart"/>
      <w:r w:rsidRPr="00DD0CB5">
        <w:rPr>
          <w:rFonts w:ascii="Arial" w:eastAsia="Times New Roman" w:hAnsi="Arial" w:cs="Arial"/>
          <w:color w:val="000000"/>
          <w:sz w:val="20"/>
          <w:szCs w:val="20"/>
        </w:rPr>
        <w:t>thu</w:t>
      </w:r>
      <w:proofErr w:type="gramEnd"/>
      <w:r w:rsidRPr="00DD0CB5">
        <w:rPr>
          <w:rFonts w:ascii="Arial" w:eastAsia="Times New Roman" w:hAnsi="Arial" w:cs="Arial"/>
          <w:color w:val="000000"/>
          <w:sz w:val="20"/>
          <w:szCs w:val="20"/>
        </w:rPr>
        <w:t>, chế độ thu, nộp, quản lý và sử dụng phí đấu giá.</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xml:space="preserve">2. Đối với các địa phương đã ban hành văn bản </w:t>
      </w:r>
      <w:proofErr w:type="gramStart"/>
      <w:r w:rsidRPr="00DD0CB5">
        <w:rPr>
          <w:rFonts w:ascii="Arial" w:eastAsia="Times New Roman" w:hAnsi="Arial" w:cs="Arial"/>
          <w:color w:val="000000"/>
          <w:sz w:val="20"/>
          <w:szCs w:val="20"/>
        </w:rPr>
        <w:t>thu</w:t>
      </w:r>
      <w:proofErr w:type="gramEnd"/>
      <w:r w:rsidRPr="00DD0CB5">
        <w:rPr>
          <w:rFonts w:ascii="Arial" w:eastAsia="Times New Roman" w:hAnsi="Arial" w:cs="Arial"/>
          <w:color w:val="000000"/>
          <w:sz w:val="20"/>
          <w:szCs w:val="20"/>
        </w:rPr>
        <w:t xml:space="preserve"> phí đấu giá, phí tham gia đấu gía chưa phù hợp với Thông tư này thì Uỷ ban nhân dân tỉnh, thành phố trực thuộc trung ương trình Hội đồng nhân dân cùng cấp ban hành văn bản cho phù hợp.</w:t>
      </w:r>
    </w:p>
    <w:p w:rsidR="00DD0CB5" w:rsidRPr="00DD0CB5" w:rsidRDefault="00DD0CB5" w:rsidP="00DD0CB5">
      <w:pPr>
        <w:shd w:val="clear" w:color="auto" w:fill="FFFFFF"/>
        <w:spacing w:before="240" w:after="0" w:line="240" w:lineRule="auto"/>
        <w:ind w:firstLine="720"/>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3. Trong quá trình triển khai thực hiện, nếu có vướng mắc, đề nghị các tổ chức, cá nhân phản ánh kịp thời về Bộ Tài chính để xem xét, hướng dẫn</w:t>
      </w:r>
      <w:proofErr w:type="gramStart"/>
      <w:r w:rsidRPr="00DD0CB5">
        <w:rPr>
          <w:rFonts w:ascii="Arial" w:eastAsia="Times New Roman" w:hAnsi="Arial" w:cs="Arial"/>
          <w:color w:val="000000"/>
          <w:sz w:val="20"/>
          <w:szCs w:val="20"/>
        </w:rPr>
        <w:t>./</w:t>
      </w:r>
      <w:proofErr w:type="gramEnd"/>
      <w:r w:rsidRPr="00DD0CB5">
        <w:rPr>
          <w:rFonts w:ascii="Arial" w:eastAsia="Times New Roman" w:hAnsi="Arial" w:cs="Arial"/>
          <w:color w:val="000000"/>
          <w:sz w:val="20"/>
          <w:szCs w:val="20"/>
        </w:rPr>
        <w:t>.</w:t>
      </w:r>
    </w:p>
    <w:p w:rsidR="00DD0CB5" w:rsidRPr="00DD0CB5" w:rsidRDefault="00DD0CB5" w:rsidP="00DD0CB5">
      <w:pPr>
        <w:shd w:val="clear" w:color="auto" w:fill="FFFFFF"/>
        <w:spacing w:before="240" w:after="120" w:line="240" w:lineRule="auto"/>
        <w:ind w:firstLine="720"/>
        <w:jc w:val="both"/>
        <w:rPr>
          <w:rFonts w:ascii="Times New Roman" w:eastAsia="Times New Roman" w:hAnsi="Times New Roman" w:cs="Times New Roman"/>
          <w:color w:val="000000"/>
          <w:sz w:val="24"/>
          <w:szCs w:val="24"/>
        </w:rPr>
      </w:pPr>
      <w:r w:rsidRPr="00DD0CB5">
        <w:rPr>
          <w:rFonts w:ascii="Times New Roman" w:eastAsia="Times New Roman" w:hAnsi="Times New Roman" w:cs="Times New Roman"/>
          <w:color w:val="000000"/>
          <w:sz w:val="24"/>
          <w:szCs w:val="24"/>
        </w:rPr>
        <w:t> </w:t>
      </w:r>
    </w:p>
    <w:p w:rsidR="00DD0CB5" w:rsidRPr="00DD0CB5" w:rsidRDefault="00DD0CB5" w:rsidP="00DD0CB5">
      <w:pPr>
        <w:shd w:val="clear" w:color="auto" w:fill="FFFFFF"/>
        <w:spacing w:before="240" w:after="120" w:line="240" w:lineRule="auto"/>
        <w:rPr>
          <w:rFonts w:ascii="Times New Roman" w:eastAsia="Times New Roman" w:hAnsi="Times New Roman" w:cs="Times New Roman"/>
          <w:color w:val="000000"/>
          <w:sz w:val="24"/>
          <w:szCs w:val="24"/>
        </w:rPr>
      </w:pPr>
      <w:r w:rsidRPr="00DD0CB5">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5385"/>
        <w:gridCol w:w="3480"/>
      </w:tblGrid>
      <w:tr w:rsidR="00DD0CB5" w:rsidRPr="00DD0CB5" w:rsidTr="00DD0CB5">
        <w:tc>
          <w:tcPr>
            <w:tcW w:w="5385" w:type="dxa"/>
            <w:shd w:val="clear" w:color="auto" w:fill="FFFFFF"/>
            <w:hideMark/>
          </w:tcPr>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b/>
                <w:bCs/>
                <w:i/>
                <w:iCs/>
                <w:color w:val="000000"/>
                <w:sz w:val="20"/>
                <w:szCs w:val="20"/>
              </w:rPr>
              <w:t>Nơi nhận:</w:t>
            </w:r>
          </w:p>
        </w:tc>
        <w:tc>
          <w:tcPr>
            <w:tcW w:w="3480" w:type="dxa"/>
            <w:shd w:val="clear" w:color="auto" w:fill="FFFFFF"/>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b/>
                <w:bCs/>
                <w:color w:val="000000"/>
                <w:sz w:val="20"/>
                <w:szCs w:val="20"/>
              </w:rPr>
              <w:t>KT. BỘ TRƯỞNG</w:t>
            </w:r>
          </w:p>
        </w:tc>
      </w:tr>
      <w:tr w:rsidR="00DD0CB5" w:rsidRPr="00DD0CB5" w:rsidTr="00DD0CB5">
        <w:tc>
          <w:tcPr>
            <w:tcW w:w="5385" w:type="dxa"/>
            <w:vMerge w:val="restart"/>
            <w:shd w:val="clear" w:color="auto" w:fill="FFFFFF"/>
            <w:hideMark/>
          </w:tcPr>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Văn phòng Trung ương Đảng;</w:t>
            </w:r>
          </w:p>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Văn phòng Quốc hội;</w:t>
            </w:r>
            <w:bookmarkStart w:id="0" w:name="_GoBack"/>
            <w:bookmarkEnd w:id="0"/>
          </w:p>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Văn phòng Chủ tịch nước;</w:t>
            </w:r>
          </w:p>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Viện Kiểm sát nhân dân tối cao;</w:t>
            </w:r>
          </w:p>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Tòa án nhân dân tối cao;</w:t>
            </w:r>
          </w:p>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Kiểm toán nhà nước;</w:t>
            </w:r>
          </w:p>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Các Bộ, cơ quan ngang Bộ,</w:t>
            </w:r>
          </w:p>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cơ quan thuộc Chính phủ;</w:t>
            </w:r>
          </w:p>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Văn phòng Ban chỉ đạo Trung ương về phòng, chống tham nhũng;</w:t>
            </w:r>
          </w:p>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Cơ quan Trung ương của các đoàn thể;</w:t>
            </w:r>
          </w:p>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Công báo;</w:t>
            </w:r>
          </w:p>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Cục Kiểm tra văn bản (Bộ Tư pháp);</w:t>
            </w:r>
          </w:p>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Uỷ ban nhân dân, Sở Tài chính, Cục Thuế, Kho bạc nhà nước các tỉnh, thành phố trực thuộc Trung ương;</w:t>
            </w:r>
          </w:p>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Các đơn vị thuộc Bộ Tài chính;</w:t>
            </w:r>
          </w:p>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Website Chính phủ;</w:t>
            </w:r>
          </w:p>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Website Bộ Tài chính;</w:t>
            </w:r>
          </w:p>
          <w:p w:rsidR="00DD0CB5" w:rsidRPr="00DD0CB5" w:rsidRDefault="00DD0CB5" w:rsidP="00DD0CB5">
            <w:pPr>
              <w:spacing w:before="240" w:after="0" w:line="240" w:lineRule="auto"/>
              <w:jc w:val="both"/>
              <w:rPr>
                <w:rFonts w:ascii="Times New Roman" w:eastAsia="Times New Roman" w:hAnsi="Times New Roman" w:cs="Times New Roman"/>
                <w:color w:val="000000"/>
                <w:sz w:val="24"/>
                <w:szCs w:val="24"/>
              </w:rPr>
            </w:pPr>
            <w:r w:rsidRPr="00DD0CB5">
              <w:rPr>
                <w:rFonts w:ascii="Arial" w:eastAsia="Times New Roman" w:hAnsi="Arial" w:cs="Arial"/>
                <w:color w:val="000000"/>
                <w:sz w:val="20"/>
                <w:szCs w:val="20"/>
              </w:rPr>
              <w:t>- Lưu VT, CST (CST 5).</w:t>
            </w:r>
          </w:p>
        </w:tc>
        <w:tc>
          <w:tcPr>
            <w:tcW w:w="3480" w:type="dxa"/>
            <w:shd w:val="clear" w:color="auto" w:fill="FFFFFF"/>
            <w:hideMark/>
          </w:tcPr>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b/>
                <w:bCs/>
                <w:color w:val="000000"/>
                <w:sz w:val="20"/>
                <w:szCs w:val="20"/>
              </w:rPr>
              <w:t>THỨ TRƯỞNG</w:t>
            </w:r>
          </w:p>
        </w:tc>
      </w:tr>
      <w:tr w:rsidR="00DD0CB5" w:rsidRPr="00DD0CB5" w:rsidTr="00DD0CB5">
        <w:tc>
          <w:tcPr>
            <w:tcW w:w="0" w:type="auto"/>
            <w:vMerge/>
            <w:shd w:val="clear" w:color="auto" w:fill="FFFFFF"/>
            <w:vAlign w:val="center"/>
            <w:hideMark/>
          </w:tcPr>
          <w:p w:rsidR="00DD0CB5" w:rsidRPr="00DD0CB5" w:rsidRDefault="00DD0CB5" w:rsidP="00DD0CB5">
            <w:pPr>
              <w:spacing w:before="240" w:after="0" w:line="240" w:lineRule="auto"/>
              <w:rPr>
                <w:rFonts w:ascii="Times New Roman" w:eastAsia="Times New Roman" w:hAnsi="Times New Roman" w:cs="Times New Roman"/>
                <w:color w:val="000000"/>
                <w:sz w:val="24"/>
                <w:szCs w:val="24"/>
              </w:rPr>
            </w:pPr>
          </w:p>
        </w:tc>
        <w:tc>
          <w:tcPr>
            <w:tcW w:w="3480" w:type="dxa"/>
            <w:shd w:val="clear" w:color="auto" w:fill="FFFFFF"/>
            <w:hideMark/>
          </w:tcPr>
          <w:p w:rsidR="00DD0CB5" w:rsidRPr="00DD0CB5" w:rsidRDefault="00DD0CB5" w:rsidP="00016748">
            <w:pPr>
              <w:spacing w:before="240" w:after="120" w:line="240" w:lineRule="auto"/>
              <w:rPr>
                <w:rFonts w:ascii="Times New Roman" w:eastAsia="Times New Roman" w:hAnsi="Times New Roman" w:cs="Times New Roman"/>
                <w:color w:val="000000"/>
                <w:sz w:val="24"/>
                <w:szCs w:val="24"/>
              </w:rPr>
            </w:pPr>
          </w:p>
          <w:p w:rsidR="00DD0CB5" w:rsidRPr="00DD0CB5" w:rsidRDefault="00DD0CB5" w:rsidP="00016748">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b/>
                <w:bCs/>
                <w:i/>
                <w:iCs/>
                <w:color w:val="000000"/>
                <w:sz w:val="20"/>
                <w:szCs w:val="20"/>
              </w:rPr>
              <w:t>(Đã ký)</w:t>
            </w:r>
            <w:r w:rsidRPr="00DD0CB5">
              <w:rPr>
                <w:rFonts w:ascii="Times New Roman" w:eastAsia="Times New Roman" w:hAnsi="Times New Roman" w:cs="Times New Roman"/>
                <w:color w:val="000000"/>
                <w:sz w:val="24"/>
                <w:szCs w:val="24"/>
              </w:rPr>
              <w:t> </w:t>
            </w:r>
          </w:p>
          <w:p w:rsidR="00DD0CB5" w:rsidRPr="00DD0CB5" w:rsidRDefault="00DD0CB5" w:rsidP="00DD0CB5">
            <w:pPr>
              <w:spacing w:before="240" w:after="120" w:line="240" w:lineRule="auto"/>
              <w:jc w:val="center"/>
              <w:rPr>
                <w:rFonts w:ascii="Times New Roman" w:eastAsia="Times New Roman" w:hAnsi="Times New Roman" w:cs="Times New Roman"/>
                <w:color w:val="000000"/>
                <w:sz w:val="24"/>
                <w:szCs w:val="24"/>
              </w:rPr>
            </w:pPr>
            <w:r w:rsidRPr="00DD0CB5">
              <w:rPr>
                <w:rFonts w:ascii="Times New Roman" w:eastAsia="Times New Roman" w:hAnsi="Times New Roman" w:cs="Times New Roman"/>
                <w:color w:val="000000"/>
                <w:sz w:val="24"/>
                <w:szCs w:val="24"/>
              </w:rPr>
              <w:t> </w:t>
            </w:r>
          </w:p>
          <w:p w:rsidR="00DD0CB5" w:rsidRPr="00DD0CB5" w:rsidRDefault="00DD0CB5" w:rsidP="00DD0CB5">
            <w:pPr>
              <w:spacing w:before="240" w:after="0" w:line="240" w:lineRule="auto"/>
              <w:jc w:val="center"/>
              <w:rPr>
                <w:rFonts w:ascii="Times New Roman" w:eastAsia="Times New Roman" w:hAnsi="Times New Roman" w:cs="Times New Roman"/>
                <w:color w:val="000000"/>
                <w:sz w:val="24"/>
                <w:szCs w:val="24"/>
              </w:rPr>
            </w:pPr>
            <w:r w:rsidRPr="00DD0CB5">
              <w:rPr>
                <w:rFonts w:ascii="Arial" w:eastAsia="Times New Roman" w:hAnsi="Arial" w:cs="Arial"/>
                <w:b/>
                <w:bCs/>
                <w:color w:val="000000"/>
                <w:sz w:val="20"/>
                <w:szCs w:val="20"/>
              </w:rPr>
              <w:t>Vũ Thị Mai</w:t>
            </w:r>
          </w:p>
        </w:tc>
      </w:tr>
    </w:tbl>
    <w:p w:rsidR="00140B4A" w:rsidRPr="00DD0CB5" w:rsidRDefault="00140B4A" w:rsidP="00DD0CB5">
      <w:pPr>
        <w:spacing w:before="240" w:line="240" w:lineRule="auto"/>
      </w:pPr>
    </w:p>
    <w:sectPr w:rsidR="00140B4A" w:rsidRPr="00DD0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56"/>
    <w:rsid w:val="00016748"/>
    <w:rsid w:val="00140B4A"/>
    <w:rsid w:val="00537CE2"/>
    <w:rsid w:val="006078F9"/>
    <w:rsid w:val="008B5B56"/>
    <w:rsid w:val="00A46420"/>
    <w:rsid w:val="00A6624B"/>
    <w:rsid w:val="00DD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B56"/>
    <w:rPr>
      <w:rFonts w:ascii="Tahoma" w:hAnsi="Tahoma" w:cs="Tahoma"/>
      <w:sz w:val="16"/>
      <w:szCs w:val="16"/>
    </w:rPr>
  </w:style>
  <w:style w:type="paragraph" w:styleId="NormalWeb">
    <w:name w:val="Normal (Web)"/>
    <w:basedOn w:val="Normal"/>
    <w:uiPriority w:val="99"/>
    <w:unhideWhenUsed/>
    <w:rsid w:val="006078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B56"/>
    <w:rPr>
      <w:rFonts w:ascii="Tahoma" w:hAnsi="Tahoma" w:cs="Tahoma"/>
      <w:sz w:val="16"/>
      <w:szCs w:val="16"/>
    </w:rPr>
  </w:style>
  <w:style w:type="paragraph" w:styleId="NormalWeb">
    <w:name w:val="Normal (Web)"/>
    <w:basedOn w:val="Normal"/>
    <w:uiPriority w:val="99"/>
    <w:unhideWhenUsed/>
    <w:rsid w:val="006078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93953">
      <w:bodyDiv w:val="1"/>
      <w:marLeft w:val="0"/>
      <w:marRight w:val="0"/>
      <w:marTop w:val="0"/>
      <w:marBottom w:val="0"/>
      <w:divBdr>
        <w:top w:val="none" w:sz="0" w:space="0" w:color="auto"/>
        <w:left w:val="none" w:sz="0" w:space="0" w:color="auto"/>
        <w:bottom w:val="none" w:sz="0" w:space="0" w:color="auto"/>
        <w:right w:val="none" w:sz="0" w:space="0" w:color="auto"/>
      </w:divBdr>
    </w:div>
    <w:div w:id="684407757">
      <w:bodyDiv w:val="1"/>
      <w:marLeft w:val="0"/>
      <w:marRight w:val="0"/>
      <w:marTop w:val="0"/>
      <w:marBottom w:val="0"/>
      <w:divBdr>
        <w:top w:val="none" w:sz="0" w:space="0" w:color="auto"/>
        <w:left w:val="none" w:sz="0" w:space="0" w:color="auto"/>
        <w:bottom w:val="none" w:sz="0" w:space="0" w:color="auto"/>
        <w:right w:val="none" w:sz="0" w:space="0" w:color="auto"/>
      </w:divBdr>
    </w:div>
    <w:div w:id="862287055">
      <w:bodyDiv w:val="1"/>
      <w:marLeft w:val="0"/>
      <w:marRight w:val="0"/>
      <w:marTop w:val="0"/>
      <w:marBottom w:val="0"/>
      <w:divBdr>
        <w:top w:val="none" w:sz="0" w:space="0" w:color="auto"/>
        <w:left w:val="none" w:sz="0" w:space="0" w:color="auto"/>
        <w:bottom w:val="none" w:sz="0" w:space="0" w:color="auto"/>
        <w:right w:val="none" w:sz="0" w:space="0" w:color="auto"/>
      </w:divBdr>
    </w:div>
    <w:div w:id="15557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F7560-E20A-4C6E-B13C-D96F46A3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2021-07-20T09:46:00Z</dcterms:created>
  <dcterms:modified xsi:type="dcterms:W3CDTF">2021-07-20T09:46:00Z</dcterms:modified>
</cp:coreProperties>
</file>