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56" w:rsidRPr="006D7756" w:rsidRDefault="006D7756" w:rsidP="006D7756">
      <w:pPr>
        <w:spacing w:after="0" w:line="240" w:lineRule="auto"/>
        <w:rPr>
          <w:rFonts w:ascii="Times New Roman" w:eastAsia="Times New Roman" w:hAnsi="Times New Roman" w:cs="Times New Roman"/>
        </w:rPr>
      </w:pPr>
    </w:p>
    <w:tbl>
      <w:tblPr>
        <w:tblW w:w="0" w:type="auto"/>
        <w:shd w:val="clear" w:color="auto" w:fill="FFFFFF"/>
        <w:tblCellMar>
          <w:left w:w="0" w:type="dxa"/>
          <w:right w:w="0" w:type="dxa"/>
        </w:tblCellMar>
        <w:tblLook w:val="04A0" w:firstRow="1" w:lastRow="0" w:firstColumn="1" w:lastColumn="0" w:noHBand="0" w:noVBand="1"/>
        <w:tblDescription w:val="table"/>
      </w:tblPr>
      <w:tblGrid>
        <w:gridCol w:w="3375"/>
        <w:gridCol w:w="5985"/>
      </w:tblGrid>
      <w:tr w:rsidR="006D7756" w:rsidRPr="006D7756" w:rsidTr="006D7756">
        <w:tc>
          <w:tcPr>
            <w:tcW w:w="3375" w:type="dxa"/>
            <w:shd w:val="clear" w:color="auto" w:fill="FFFFFF"/>
            <w:hideMark/>
          </w:tcPr>
          <w:p w:rsidR="006D7756" w:rsidRPr="006D7756" w:rsidRDefault="006D7756" w:rsidP="006D7756">
            <w:pPr>
              <w:spacing w:after="0" w:line="240" w:lineRule="auto"/>
              <w:jc w:val="center"/>
              <w:rPr>
                <w:rFonts w:ascii="Times New Roman" w:eastAsia="Times New Roman" w:hAnsi="Times New Roman" w:cs="Times New Roman"/>
                <w:color w:val="000000"/>
              </w:rPr>
            </w:pPr>
            <w:r w:rsidRPr="006D7756">
              <w:rPr>
                <w:rFonts w:ascii="Times New Roman" w:eastAsia="Times New Roman" w:hAnsi="Times New Roman" w:cs="Times New Roman"/>
                <w:b/>
                <w:bCs/>
                <w:color w:val="000000"/>
              </w:rPr>
              <w:t>THỦ TƯỚNG CHÍNH PHỦ</w:t>
            </w:r>
          </w:p>
          <w:p w:rsidR="006D7756" w:rsidRPr="006D7756" w:rsidRDefault="006D7756" w:rsidP="006D7756">
            <w:pPr>
              <w:spacing w:after="0" w:line="240" w:lineRule="auto"/>
              <w:jc w:val="center"/>
              <w:rPr>
                <w:rFonts w:ascii="Times New Roman" w:eastAsia="Times New Roman" w:hAnsi="Times New Roman" w:cs="Times New Roman"/>
                <w:color w:val="000000"/>
              </w:rPr>
            </w:pPr>
            <w:r w:rsidRPr="006D7756">
              <w:rPr>
                <w:rFonts w:ascii="Times New Roman" w:eastAsia="Times New Roman" w:hAnsi="Times New Roman" w:cs="Times New Roman"/>
                <w:color w:val="000000"/>
              </w:rPr>
              <w:t>_______________</w:t>
            </w:r>
          </w:p>
          <w:p w:rsidR="006D7756" w:rsidRPr="006D7756" w:rsidRDefault="006D7756" w:rsidP="006D7756">
            <w:pPr>
              <w:spacing w:after="0" w:line="240" w:lineRule="auto"/>
              <w:jc w:val="center"/>
              <w:rPr>
                <w:rFonts w:ascii="Times New Roman" w:eastAsia="Times New Roman" w:hAnsi="Times New Roman" w:cs="Times New Roman"/>
                <w:color w:val="000000"/>
              </w:rPr>
            </w:pPr>
            <w:r w:rsidRPr="006D7756">
              <w:rPr>
                <w:rFonts w:ascii="Times New Roman" w:eastAsia="Times New Roman" w:hAnsi="Times New Roman" w:cs="Times New Roman"/>
                <w:color w:val="000000"/>
              </w:rPr>
              <w:t> </w:t>
            </w:r>
          </w:p>
          <w:p w:rsidR="006D7756" w:rsidRPr="006D7756" w:rsidRDefault="006D7756" w:rsidP="006D7756">
            <w:pPr>
              <w:spacing w:after="0" w:line="240" w:lineRule="auto"/>
              <w:jc w:val="center"/>
              <w:rPr>
                <w:rFonts w:ascii="Times New Roman" w:eastAsia="Times New Roman" w:hAnsi="Times New Roman" w:cs="Times New Roman"/>
                <w:color w:val="000000"/>
              </w:rPr>
            </w:pPr>
            <w:r w:rsidRPr="006D7756">
              <w:rPr>
                <w:rFonts w:ascii="Times New Roman" w:eastAsia="Times New Roman" w:hAnsi="Times New Roman" w:cs="Times New Roman"/>
                <w:color w:val="000000"/>
              </w:rPr>
              <w:t xml:space="preserve">Số: </w:t>
            </w:r>
            <w:r w:rsidR="00697776" w:rsidRPr="00697776">
              <w:rPr>
                <w:rFonts w:ascii="Times New Roman" w:eastAsia="Times New Roman" w:hAnsi="Times New Roman" w:cs="Times New Roman"/>
                <w:color w:val="000000"/>
              </w:rPr>
              <w:t>30/2010/QĐ-TTg</w:t>
            </w:r>
          </w:p>
        </w:tc>
        <w:tc>
          <w:tcPr>
            <w:tcW w:w="5985" w:type="dxa"/>
            <w:shd w:val="clear" w:color="auto" w:fill="FFFFFF"/>
            <w:hideMark/>
          </w:tcPr>
          <w:p w:rsidR="006D7756" w:rsidRPr="006D7756" w:rsidRDefault="006D7756" w:rsidP="006D7756">
            <w:pPr>
              <w:spacing w:after="0" w:line="240" w:lineRule="auto"/>
              <w:jc w:val="center"/>
              <w:rPr>
                <w:rFonts w:ascii="Times New Roman" w:eastAsia="Times New Roman" w:hAnsi="Times New Roman" w:cs="Times New Roman"/>
                <w:color w:val="000000"/>
              </w:rPr>
            </w:pPr>
            <w:r w:rsidRPr="006D7756">
              <w:rPr>
                <w:rFonts w:ascii="Times New Roman" w:eastAsia="Times New Roman" w:hAnsi="Times New Roman" w:cs="Times New Roman"/>
                <w:b/>
                <w:bCs/>
                <w:color w:val="000000"/>
              </w:rPr>
              <w:t>CỘNG HÒA XÃ HỘI CHỦ NGHĨA VIỆT NAM</w:t>
            </w:r>
          </w:p>
          <w:p w:rsidR="006D7756" w:rsidRPr="006D7756" w:rsidRDefault="006D7756" w:rsidP="006D7756">
            <w:pPr>
              <w:spacing w:after="0" w:line="240" w:lineRule="auto"/>
              <w:jc w:val="center"/>
              <w:rPr>
                <w:rFonts w:ascii="Times New Roman" w:eastAsia="Times New Roman" w:hAnsi="Times New Roman" w:cs="Times New Roman"/>
                <w:color w:val="000000"/>
              </w:rPr>
            </w:pPr>
            <w:r w:rsidRPr="006D7756">
              <w:rPr>
                <w:rFonts w:ascii="Times New Roman" w:eastAsia="Times New Roman" w:hAnsi="Times New Roman" w:cs="Times New Roman"/>
                <w:b/>
                <w:bCs/>
                <w:color w:val="000000"/>
              </w:rPr>
              <w:t>Độc lập - Tự do - Hạnh phúc</w:t>
            </w:r>
          </w:p>
          <w:p w:rsidR="006D7756" w:rsidRPr="006D7756" w:rsidRDefault="006D7756" w:rsidP="006D7756">
            <w:pPr>
              <w:spacing w:after="0" w:line="240" w:lineRule="auto"/>
              <w:jc w:val="center"/>
              <w:rPr>
                <w:rFonts w:ascii="Times New Roman" w:eastAsia="Times New Roman" w:hAnsi="Times New Roman" w:cs="Times New Roman"/>
                <w:color w:val="000000"/>
              </w:rPr>
            </w:pPr>
            <w:r w:rsidRPr="006D7756">
              <w:rPr>
                <w:rFonts w:ascii="Times New Roman" w:eastAsia="Times New Roman" w:hAnsi="Times New Roman" w:cs="Times New Roman"/>
                <w:b/>
                <w:bCs/>
                <w:color w:val="000000"/>
                <w:vertAlign w:val="superscript"/>
              </w:rPr>
              <w:t>______________________________</w:t>
            </w:r>
          </w:p>
          <w:p w:rsidR="006D7756" w:rsidRPr="006D7756" w:rsidRDefault="006D7756" w:rsidP="006D7756">
            <w:pPr>
              <w:spacing w:after="0" w:line="240" w:lineRule="auto"/>
              <w:jc w:val="center"/>
              <w:rPr>
                <w:rFonts w:ascii="Times New Roman" w:eastAsia="Times New Roman" w:hAnsi="Times New Roman" w:cs="Times New Roman"/>
                <w:color w:val="000000"/>
              </w:rPr>
            </w:pPr>
            <w:r w:rsidRPr="006D7756">
              <w:rPr>
                <w:rFonts w:ascii="Times New Roman" w:eastAsia="Times New Roman" w:hAnsi="Times New Roman" w:cs="Times New Roman"/>
                <w:i/>
                <w:iCs/>
                <w:color w:val="000000"/>
              </w:rPr>
              <w:t> </w:t>
            </w:r>
          </w:p>
          <w:p w:rsidR="006D7756" w:rsidRPr="006D7756" w:rsidRDefault="006D7756" w:rsidP="002B6B0D">
            <w:pPr>
              <w:spacing w:after="0" w:line="240" w:lineRule="auto"/>
              <w:jc w:val="center"/>
              <w:rPr>
                <w:rFonts w:ascii="Times New Roman" w:eastAsia="Times New Roman" w:hAnsi="Times New Roman" w:cs="Times New Roman"/>
                <w:color w:val="000000"/>
              </w:rPr>
            </w:pPr>
            <w:r w:rsidRPr="006D7756">
              <w:rPr>
                <w:rFonts w:ascii="Times New Roman" w:eastAsia="Times New Roman" w:hAnsi="Times New Roman" w:cs="Times New Roman"/>
                <w:i/>
                <w:iCs/>
                <w:color w:val="000000"/>
              </w:rPr>
              <w:t xml:space="preserve">                 Hà Nội, ngày </w:t>
            </w:r>
            <w:r w:rsidR="002B6B0D" w:rsidRPr="00697776">
              <w:rPr>
                <w:rFonts w:ascii="Times New Roman" w:eastAsia="Times New Roman" w:hAnsi="Times New Roman" w:cs="Times New Roman"/>
                <w:i/>
                <w:iCs/>
                <w:color w:val="000000"/>
              </w:rPr>
              <w:t>15 tháng 03</w:t>
            </w:r>
            <w:r w:rsidRPr="006D7756">
              <w:rPr>
                <w:rFonts w:ascii="Times New Roman" w:eastAsia="Times New Roman" w:hAnsi="Times New Roman" w:cs="Times New Roman"/>
                <w:i/>
                <w:iCs/>
                <w:color w:val="000000"/>
              </w:rPr>
              <w:t xml:space="preserve">  năm 2010</w:t>
            </w:r>
          </w:p>
        </w:tc>
      </w:tr>
    </w:tbl>
    <w:p w:rsidR="006D7756" w:rsidRPr="006D7756" w:rsidRDefault="006D7756" w:rsidP="006D7756">
      <w:pPr>
        <w:shd w:val="clear" w:color="auto" w:fill="FFFFFF"/>
        <w:spacing w:after="0" w:line="240" w:lineRule="auto"/>
        <w:jc w:val="both"/>
        <w:rPr>
          <w:rFonts w:ascii="Times New Roman" w:eastAsia="Times New Roman" w:hAnsi="Times New Roman" w:cs="Times New Roman"/>
          <w:color w:val="000000"/>
        </w:rPr>
      </w:pPr>
      <w:r w:rsidRPr="006D7756">
        <w:rPr>
          <w:rFonts w:ascii="Times New Roman" w:eastAsia="Times New Roman" w:hAnsi="Times New Roman" w:cs="Times New Roman"/>
          <w:color w:val="000000"/>
        </w:rPr>
        <w:t> </w:t>
      </w:r>
    </w:p>
    <w:p w:rsidR="006D7756" w:rsidRPr="006D7756" w:rsidRDefault="006D7756" w:rsidP="006D7756">
      <w:pPr>
        <w:shd w:val="clear" w:color="auto" w:fill="FFFFFF"/>
        <w:spacing w:after="0" w:line="240" w:lineRule="auto"/>
        <w:jc w:val="center"/>
        <w:rPr>
          <w:rFonts w:ascii="Times New Roman" w:eastAsia="Times New Roman" w:hAnsi="Times New Roman" w:cs="Times New Roman"/>
          <w:color w:val="000000"/>
        </w:rPr>
      </w:pPr>
      <w:r w:rsidRPr="006D7756">
        <w:rPr>
          <w:rFonts w:ascii="Times New Roman" w:eastAsia="Times New Roman" w:hAnsi="Times New Roman" w:cs="Times New Roman"/>
          <w:color w:val="000000"/>
          <w:vertAlign w:val="superscript"/>
        </w:rPr>
        <w:t>__________________</w:t>
      </w:r>
    </w:p>
    <w:p w:rsidR="006D7756" w:rsidRPr="006D7756" w:rsidRDefault="006D7756" w:rsidP="006D7756">
      <w:pPr>
        <w:shd w:val="clear" w:color="auto" w:fill="FFFFFF"/>
        <w:spacing w:after="0" w:line="240" w:lineRule="auto"/>
        <w:jc w:val="both"/>
        <w:rPr>
          <w:rFonts w:ascii="Times New Roman" w:eastAsia="Times New Roman" w:hAnsi="Times New Roman" w:cs="Times New Roman"/>
          <w:color w:val="000000"/>
        </w:rPr>
      </w:pPr>
      <w:r w:rsidRPr="006D7756">
        <w:rPr>
          <w:rFonts w:ascii="Times New Roman" w:eastAsia="Times New Roman" w:hAnsi="Times New Roman" w:cs="Times New Roman"/>
          <w:color w:val="000000"/>
        </w:rPr>
        <w:t> </w:t>
      </w:r>
    </w:p>
    <w:p w:rsidR="00697776" w:rsidRPr="00697776" w:rsidRDefault="002B6B0D" w:rsidP="002B6B0D">
      <w:pPr>
        <w:shd w:val="clear" w:color="auto" w:fill="FFFFFF"/>
        <w:spacing w:after="0" w:line="240" w:lineRule="auto"/>
        <w:jc w:val="center"/>
        <w:rPr>
          <w:rFonts w:ascii="Times New Roman" w:eastAsia="Times New Roman" w:hAnsi="Times New Roman" w:cs="Times New Roman"/>
          <w:b/>
          <w:bCs/>
          <w:color w:val="000000"/>
        </w:rPr>
      </w:pPr>
      <w:r w:rsidRPr="002B6B0D">
        <w:rPr>
          <w:rFonts w:ascii="Times New Roman" w:eastAsia="Times New Roman" w:hAnsi="Times New Roman" w:cs="Times New Roman"/>
          <w:b/>
          <w:bCs/>
          <w:color w:val="000000"/>
        </w:rPr>
        <w:t xml:space="preserve">QUYẾT ĐỊNH  </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Cs/>
          <w:color w:val="000000"/>
        </w:rPr>
        <w:t>VỀ VIỆC BAN HÀNH QUY ĐỊNH TIÊU CHUẨN, ĐỊNH MỨC VÀ CHẾ ĐỘ QUẢN LÝ, SỬ DỤNG PHƯƠNG TIỆN ĐI LẠI PHỤC VỤ CÔNG TÁC CỦA CƠ QUAN VIỆT NAM Ở NƯỚC NGOÀI</w:t>
      </w:r>
    </w:p>
    <w:p w:rsidR="002B6B0D" w:rsidRPr="002B6B0D" w:rsidRDefault="002B6B0D" w:rsidP="002B6B0D">
      <w:pPr>
        <w:shd w:val="clear" w:color="auto" w:fill="FFFFFF"/>
        <w:spacing w:before="120" w:after="120" w:line="240" w:lineRule="auto"/>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THỦ TƯỚNG CHÍNH PHỦ</w:t>
      </w:r>
    </w:p>
    <w:p w:rsidR="002B6B0D" w:rsidRPr="002B6B0D" w:rsidRDefault="002B6B0D" w:rsidP="002B6B0D">
      <w:pPr>
        <w:shd w:val="clear" w:color="auto" w:fill="FFFFFF"/>
        <w:spacing w:before="120" w:after="12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44"/>
        <w:rPr>
          <w:rFonts w:ascii="Times New Roman" w:eastAsia="Times New Roman" w:hAnsi="Times New Roman" w:cs="Times New Roman"/>
          <w:i/>
          <w:color w:val="000000"/>
        </w:rPr>
      </w:pPr>
      <w:r w:rsidRPr="002B6B0D">
        <w:rPr>
          <w:rFonts w:ascii="Times New Roman" w:eastAsia="Times New Roman" w:hAnsi="Times New Roman" w:cs="Times New Roman"/>
          <w:i/>
          <w:color w:val="000000"/>
        </w:rPr>
        <w:t>Căn cứ Luật Tổ chức Chính phủ ngày 25 tháng 12 năm 2001;</w:t>
      </w:r>
    </w:p>
    <w:p w:rsidR="002B6B0D" w:rsidRPr="002B6B0D" w:rsidRDefault="002B6B0D" w:rsidP="002B6B0D">
      <w:pPr>
        <w:shd w:val="clear" w:color="auto" w:fill="FFFFFF"/>
        <w:spacing w:after="0" w:line="240" w:lineRule="auto"/>
        <w:ind w:firstLine="544"/>
        <w:jc w:val="both"/>
        <w:rPr>
          <w:rFonts w:ascii="Times New Roman" w:eastAsia="Times New Roman" w:hAnsi="Times New Roman" w:cs="Times New Roman"/>
          <w:i/>
          <w:color w:val="000000"/>
        </w:rPr>
      </w:pPr>
      <w:r w:rsidRPr="002B6B0D">
        <w:rPr>
          <w:rFonts w:ascii="Times New Roman" w:eastAsia="Times New Roman" w:hAnsi="Times New Roman" w:cs="Times New Roman"/>
          <w:i/>
          <w:color w:val="000000"/>
        </w:rPr>
        <w:t>Căn cứ Luật Thực hành tiết kiệm, chống lãng phí ngày 29 tháng 11 năm 2005;</w:t>
      </w:r>
    </w:p>
    <w:p w:rsidR="002B6B0D" w:rsidRPr="002B6B0D" w:rsidRDefault="002B6B0D" w:rsidP="002B6B0D">
      <w:pPr>
        <w:shd w:val="clear" w:color="auto" w:fill="FFFFFF"/>
        <w:spacing w:after="0" w:line="240" w:lineRule="auto"/>
        <w:ind w:firstLine="544"/>
        <w:jc w:val="both"/>
        <w:rPr>
          <w:rFonts w:ascii="Times New Roman" w:eastAsia="Times New Roman" w:hAnsi="Times New Roman" w:cs="Times New Roman"/>
          <w:i/>
          <w:color w:val="000000"/>
        </w:rPr>
      </w:pPr>
      <w:r w:rsidRPr="002B6B0D">
        <w:rPr>
          <w:rFonts w:ascii="Times New Roman" w:eastAsia="Times New Roman" w:hAnsi="Times New Roman" w:cs="Times New Roman"/>
          <w:i/>
          <w:color w:val="000000"/>
        </w:rPr>
        <w:t>Căn cứ Luật Phòng, chống tham nhũng ngày 29 tháng 11 năm 2005; Luật sửa đổi, bổ sung một số điều của Luật Phòng, chống tham nhũng ngày 04 tháng 8 năm 2007;</w:t>
      </w:r>
    </w:p>
    <w:p w:rsidR="002B6B0D" w:rsidRPr="002B6B0D" w:rsidRDefault="002B6B0D" w:rsidP="002B6B0D">
      <w:pPr>
        <w:shd w:val="clear" w:color="auto" w:fill="FFFFFF"/>
        <w:spacing w:after="0" w:line="240" w:lineRule="auto"/>
        <w:ind w:firstLine="544"/>
        <w:jc w:val="both"/>
        <w:rPr>
          <w:rFonts w:ascii="Times New Roman" w:eastAsia="Times New Roman" w:hAnsi="Times New Roman" w:cs="Times New Roman"/>
          <w:i/>
          <w:color w:val="000000"/>
        </w:rPr>
      </w:pPr>
      <w:r w:rsidRPr="002B6B0D">
        <w:rPr>
          <w:rFonts w:ascii="Times New Roman" w:eastAsia="Times New Roman" w:hAnsi="Times New Roman" w:cs="Times New Roman"/>
          <w:i/>
          <w:color w:val="000000"/>
        </w:rPr>
        <w:t>Căn cứ Luật Quản lý, sử dụng tài sản nhà nước ngày 03 tháng 6 năm 2008;</w:t>
      </w:r>
    </w:p>
    <w:p w:rsidR="002B6B0D" w:rsidRPr="002B6B0D" w:rsidRDefault="002B6B0D" w:rsidP="002B6B0D">
      <w:pPr>
        <w:shd w:val="clear" w:color="auto" w:fill="FFFFFF"/>
        <w:spacing w:after="0" w:line="240" w:lineRule="auto"/>
        <w:ind w:firstLine="544"/>
        <w:jc w:val="both"/>
        <w:rPr>
          <w:rFonts w:ascii="Times New Roman" w:eastAsia="Times New Roman" w:hAnsi="Times New Roman" w:cs="Times New Roman"/>
          <w:i/>
          <w:color w:val="000000"/>
        </w:rPr>
      </w:pPr>
      <w:r w:rsidRPr="002B6B0D">
        <w:rPr>
          <w:rFonts w:ascii="Times New Roman" w:eastAsia="Times New Roman" w:hAnsi="Times New Roman" w:cs="Times New Roman"/>
          <w:i/>
          <w:color w:val="000000"/>
        </w:rPr>
        <w:t>Căn cứ Luật Cơ quan đại diện nước Cộng hoà xã hội chủ nghĩa Việt Nam ở nước ngoài ngày 29 tháng 6 năm 2009;</w:t>
      </w:r>
    </w:p>
    <w:p w:rsidR="002B6B0D" w:rsidRPr="002B6B0D" w:rsidRDefault="002B6B0D" w:rsidP="002B6B0D">
      <w:pPr>
        <w:shd w:val="clear" w:color="auto" w:fill="FFFFFF"/>
        <w:spacing w:after="0" w:line="240" w:lineRule="auto"/>
        <w:ind w:firstLine="544"/>
        <w:rPr>
          <w:rFonts w:ascii="Times New Roman" w:eastAsia="Times New Roman" w:hAnsi="Times New Roman" w:cs="Times New Roman"/>
          <w:i/>
          <w:color w:val="000000"/>
        </w:rPr>
      </w:pPr>
      <w:r w:rsidRPr="002B6B0D">
        <w:rPr>
          <w:rFonts w:ascii="Times New Roman" w:eastAsia="Times New Roman" w:hAnsi="Times New Roman" w:cs="Times New Roman"/>
          <w:i/>
          <w:color w:val="000000"/>
        </w:rPr>
        <w:t>Xét đề nghị của Bộ trưởng Bộ Tài chính,</w:t>
      </w:r>
    </w:p>
    <w:p w:rsidR="002B6B0D" w:rsidRPr="002B6B0D" w:rsidRDefault="002B6B0D" w:rsidP="002B6B0D">
      <w:pPr>
        <w:shd w:val="clear" w:color="auto" w:fill="FFFFFF"/>
        <w:spacing w:before="120" w:after="120" w:line="240" w:lineRule="auto"/>
        <w:jc w:val="center"/>
        <w:rPr>
          <w:rFonts w:ascii="Times New Roman" w:eastAsia="Times New Roman" w:hAnsi="Times New Roman" w:cs="Times New Roman"/>
          <w:i/>
          <w:color w:val="000000"/>
        </w:rPr>
      </w:pPr>
      <w:r w:rsidRPr="002B6B0D">
        <w:rPr>
          <w:rFonts w:ascii="Times New Roman" w:eastAsia="Times New Roman" w:hAnsi="Times New Roman" w:cs="Times New Roman"/>
          <w:i/>
          <w:color w:val="000000"/>
        </w:rPr>
        <w:t> </w:t>
      </w:r>
      <w:bookmarkStart w:id="0" w:name="_GoBack"/>
      <w:bookmarkEnd w:id="0"/>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QUYẾT ĐỊNH:</w:t>
      </w:r>
    </w:p>
    <w:p w:rsidR="002B6B0D" w:rsidRPr="002B6B0D" w:rsidRDefault="002B6B0D" w:rsidP="002B6B0D">
      <w:pPr>
        <w:shd w:val="clear" w:color="auto" w:fill="FFFFFF"/>
        <w:spacing w:before="120" w:after="12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1.</w:t>
      </w:r>
      <w:proofErr w:type="gramEnd"/>
      <w:r w:rsidRPr="002B6B0D">
        <w:rPr>
          <w:rFonts w:ascii="Times New Roman" w:eastAsia="Times New Roman" w:hAnsi="Times New Roman" w:cs="Times New Roman"/>
          <w:color w:val="000000"/>
        </w:rPr>
        <w:t xml:space="preserve"> Ban hành kèm </w:t>
      </w:r>
      <w:proofErr w:type="gramStart"/>
      <w:r w:rsidRPr="002B6B0D">
        <w:rPr>
          <w:rFonts w:ascii="Times New Roman" w:eastAsia="Times New Roman" w:hAnsi="Times New Roman" w:cs="Times New Roman"/>
          <w:color w:val="000000"/>
        </w:rPr>
        <w:t>theo</w:t>
      </w:r>
      <w:proofErr w:type="gramEnd"/>
      <w:r w:rsidRPr="002B6B0D">
        <w:rPr>
          <w:rFonts w:ascii="Times New Roman" w:eastAsia="Times New Roman" w:hAnsi="Times New Roman" w:cs="Times New Roman"/>
          <w:color w:val="000000"/>
        </w:rPr>
        <w:t xml:space="preserve"> Quyết định này Quy định tiêu chuẩn, định mức và chế độ quản lý, sử dụng phương tiện đi lại phục vụ công tác của cơ quan Việt Nam ở nước ngoài.</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2.</w:t>
      </w:r>
      <w:proofErr w:type="gramEnd"/>
      <w:r w:rsidRPr="002B6B0D">
        <w:rPr>
          <w:rFonts w:ascii="Times New Roman" w:eastAsia="Times New Roman" w:hAnsi="Times New Roman" w:cs="Times New Roman"/>
          <w:color w:val="000000"/>
        </w:rPr>
        <w:t> </w:t>
      </w:r>
      <w:proofErr w:type="gramStart"/>
      <w:r w:rsidRPr="002B6B0D">
        <w:rPr>
          <w:rFonts w:ascii="Times New Roman" w:eastAsia="Times New Roman" w:hAnsi="Times New Roman" w:cs="Times New Roman"/>
          <w:color w:val="000000"/>
        </w:rPr>
        <w:t>Quyết định này có hiệu lực thi hành kể từ ngày 28 tháng 4 năm 2010.</w:t>
      </w:r>
      <w:proofErr w:type="gramEnd"/>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3.</w:t>
      </w:r>
      <w:proofErr w:type="gramEnd"/>
      <w:r w:rsidRPr="002B6B0D">
        <w:rPr>
          <w:rFonts w:ascii="Times New Roman" w:eastAsia="Times New Roman" w:hAnsi="Times New Roman" w:cs="Times New Roman"/>
          <w:color w:val="000000"/>
        </w:rPr>
        <w:t> Các Bộ trưởng, Thủ trưởng cơ quan ngang Bộ, Thủ trưởng cơ quan thuộc Chính phủ, Thủ trưởng các cơ quan khác ở Trung ương và Thủ trưởng các cơ quan liên quan chịu trách nhiệm thi hành Quyết định này./.</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THỦ TƯỚNG</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Nguyễn Tấn Dũng</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QUY ĐỊNH</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Về tiêu chuẩn, định mức và chế độ quản lý, sử dụng</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phương</w:t>
      </w:r>
      <w:proofErr w:type="gramEnd"/>
      <w:r w:rsidRPr="002B6B0D">
        <w:rPr>
          <w:rFonts w:ascii="Times New Roman" w:eastAsia="Times New Roman" w:hAnsi="Times New Roman" w:cs="Times New Roman"/>
          <w:b/>
          <w:bCs/>
          <w:color w:val="000000"/>
        </w:rPr>
        <w:t xml:space="preserve"> tiện đi lại phục vụ công tác của cơ quan Việt Nam ở nước ngoài</w:t>
      </w:r>
    </w:p>
    <w:p w:rsidR="002B6B0D" w:rsidRPr="002B6B0D" w:rsidRDefault="002B6B0D" w:rsidP="002B6B0D">
      <w:pPr>
        <w:shd w:val="clear" w:color="auto" w:fill="FFFFFF"/>
        <w:spacing w:after="0" w:line="240" w:lineRule="auto"/>
        <w:ind w:firstLine="142"/>
        <w:jc w:val="center"/>
        <w:rPr>
          <w:rFonts w:ascii="Times New Roman" w:eastAsia="Times New Roman" w:hAnsi="Times New Roman" w:cs="Times New Roman"/>
          <w:color w:val="000000"/>
        </w:rPr>
      </w:pPr>
      <w:r w:rsidRPr="002B6B0D">
        <w:rPr>
          <w:rFonts w:ascii="Times New Roman" w:eastAsia="Times New Roman" w:hAnsi="Times New Roman" w:cs="Times New Roman"/>
          <w:i/>
          <w:iCs/>
          <w:color w:val="000000"/>
        </w:rPr>
        <w:t>(Ban hành kèm theo Quyết định số </w:t>
      </w:r>
      <w:r w:rsidRPr="002B6B0D">
        <w:rPr>
          <w:rFonts w:ascii="Times New Roman" w:eastAsia="Times New Roman" w:hAnsi="Times New Roman" w:cs="Times New Roman"/>
          <w:b/>
          <w:bCs/>
          <w:i/>
          <w:iCs/>
          <w:color w:val="000000"/>
        </w:rPr>
        <w:t>30</w:t>
      </w:r>
      <w:r w:rsidRPr="002B6B0D">
        <w:rPr>
          <w:rFonts w:ascii="Times New Roman" w:eastAsia="Times New Roman" w:hAnsi="Times New Roman" w:cs="Times New Roman"/>
          <w:i/>
          <w:iCs/>
          <w:color w:val="000000"/>
        </w:rPr>
        <w:t>/2010/QĐ-TTg</w:t>
      </w:r>
      <w:r w:rsidRPr="002B6B0D">
        <w:rPr>
          <w:rFonts w:ascii="Times New Roman" w:eastAsia="Times New Roman" w:hAnsi="Times New Roman" w:cs="Times New Roman"/>
          <w:i/>
          <w:iCs/>
          <w:color w:val="000000"/>
        </w:rPr>
        <w:br/>
        <w:t>ngày 15 tháng 3 năm 2010 của Thủ tướng Chính phủ)</w:t>
      </w:r>
    </w:p>
    <w:p w:rsidR="002B6B0D" w:rsidRPr="002B6B0D" w:rsidRDefault="002B6B0D" w:rsidP="002B6B0D">
      <w:pPr>
        <w:shd w:val="clear" w:color="auto" w:fill="FFFFFF"/>
        <w:spacing w:before="120" w:after="120" w:line="240" w:lineRule="auto"/>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Chương I</w:t>
      </w:r>
      <w:r w:rsidRPr="002B6B0D">
        <w:rPr>
          <w:rFonts w:ascii="Times New Roman" w:eastAsia="Times New Roman" w:hAnsi="Times New Roman" w:cs="Times New Roman"/>
          <w:b/>
          <w:bCs/>
          <w:color w:val="000000"/>
        </w:rPr>
        <w:br/>
        <w:t>NHỮNG QUY ĐỊNH CHUNG</w:t>
      </w:r>
    </w:p>
    <w:p w:rsidR="002B6B0D" w:rsidRPr="002B6B0D" w:rsidRDefault="002B6B0D" w:rsidP="002B6B0D">
      <w:pPr>
        <w:shd w:val="clear" w:color="auto" w:fill="FFFFFF"/>
        <w:spacing w:before="120" w:after="12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1.</w:t>
      </w:r>
      <w:proofErr w:type="gramEnd"/>
      <w:r w:rsidRPr="002B6B0D">
        <w:rPr>
          <w:rFonts w:ascii="Times New Roman" w:eastAsia="Times New Roman" w:hAnsi="Times New Roman" w:cs="Times New Roman"/>
          <w:color w:val="000000"/>
        </w:rPr>
        <w:t xml:space="preserve"> Đối tượng và phạm </w:t>
      </w:r>
      <w:proofErr w:type="gramStart"/>
      <w:r w:rsidRPr="002B6B0D">
        <w:rPr>
          <w:rFonts w:ascii="Times New Roman" w:eastAsia="Times New Roman" w:hAnsi="Times New Roman" w:cs="Times New Roman"/>
          <w:color w:val="000000"/>
        </w:rPr>
        <w:t>vi</w:t>
      </w:r>
      <w:proofErr w:type="gramEnd"/>
      <w:r w:rsidRPr="002B6B0D">
        <w:rPr>
          <w:rFonts w:ascii="Times New Roman" w:eastAsia="Times New Roman" w:hAnsi="Times New Roman" w:cs="Times New Roman"/>
          <w:color w:val="000000"/>
        </w:rPr>
        <w:t xml:space="preserve"> áp dụng</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1. Đối tượng áp dụng</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lastRenderedPageBreak/>
        <w:t>a) Cơ quan đại diện nước Cộng hoà xã hội chủ nghĩa Việt Nam ở nước ngoài (sau đây gọi tắt là Cơ quan đại diện) thực hiện chức năng đại diện chính thức của nhà nước Việt Nam trong quan hệ với quốc gia, vùng lãnh thổ, tổ chức quốc tế theo quy định của Luật Cơ quan đại diện nước Cộng hoà xã hội chủ nghĩa Việt Nam ở nước ngoài;</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b) Các cơ quan khác của Việt Nam ở nước ngoài không thuộc cơ cấu cơ quan đại diện do các Bộ, cơ quan ngang Bộ, cơ quan khác ở Trung ương và Ủy ban nhân dân các tỉnh, thành phố trực thuộc Trung ương thành lập;</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2. Phạm vi áp dụng: phương tiện đi lại thuộc phạm vi điều chỉnh của Quy định này là xe ô tô các loại và các phương tiện đi lại khác được hình thành từ nguồn vốn ngân sách, có nguồn gốc từ ngân sách (kể cả nguồn vốn vay, viện trợ, quà biếu của các tổ chức, cá nhân trong và ngoài nước hoặc được xác lập quyền sở hữu của Nhà nước theo quy định của pháp luật).</w:t>
      </w:r>
    </w:p>
    <w:p w:rsidR="002B6B0D" w:rsidRPr="002B6B0D" w:rsidRDefault="002B6B0D" w:rsidP="002B6B0D">
      <w:pPr>
        <w:shd w:val="clear" w:color="auto" w:fill="FFFFFF"/>
        <w:spacing w:before="120" w:after="12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2.</w:t>
      </w:r>
      <w:proofErr w:type="gramEnd"/>
      <w:r w:rsidRPr="002B6B0D">
        <w:rPr>
          <w:rFonts w:ascii="Times New Roman" w:eastAsia="Times New Roman" w:hAnsi="Times New Roman" w:cs="Times New Roman"/>
          <w:b/>
          <w:bCs/>
          <w:color w:val="000000"/>
        </w:rPr>
        <w:t> </w:t>
      </w:r>
      <w:r w:rsidRPr="002B6B0D">
        <w:rPr>
          <w:rFonts w:ascii="Times New Roman" w:eastAsia="Times New Roman" w:hAnsi="Times New Roman" w:cs="Times New Roman"/>
          <w:color w:val="000000"/>
        </w:rPr>
        <w:t>Nguyên tắc trang bị, bố trí, sử dụng phương tiện đi lại phục vụ công tác của cơ quan đại diện và cơ quan khác của Việt Nam ở nước ngoài</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1. Việc trang bị phương tiện đi lại phục vụ công tác của cơ quan đại diện và cơ quan khác của Việt Nam ở nước ngoài phải </w:t>
      </w:r>
      <w:proofErr w:type="gramStart"/>
      <w:r w:rsidRPr="002B6B0D">
        <w:rPr>
          <w:rFonts w:ascii="Times New Roman" w:eastAsia="Times New Roman" w:hAnsi="Times New Roman" w:cs="Times New Roman"/>
          <w:color w:val="000000"/>
        </w:rPr>
        <w:t>theo</w:t>
      </w:r>
      <w:proofErr w:type="gramEnd"/>
      <w:r w:rsidRPr="002B6B0D">
        <w:rPr>
          <w:rFonts w:ascii="Times New Roman" w:eastAsia="Times New Roman" w:hAnsi="Times New Roman" w:cs="Times New Roman"/>
          <w:color w:val="000000"/>
        </w:rPr>
        <w:t xml:space="preserve"> tiêu chuẩn, định mức, mức giá tại Quy định này, phù hợp với điều kiện công tác tại mỗi nước, bảo đảm hiệu quả, tiết kiệm.</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2. Bộ trưởng Bộ Ngoại giao quyết định việc mua sắm phương tiện đi lại phục vụ công tác của cơ quan đại diện; Bộ trưởng, Thủ trưởng cơ quan ngang</w:t>
      </w:r>
      <w:r w:rsidRPr="002B6B0D">
        <w:rPr>
          <w:rFonts w:ascii="Times New Roman" w:eastAsia="Times New Roman" w:hAnsi="Times New Roman" w:cs="Times New Roman"/>
          <w:color w:val="FF0000"/>
        </w:rPr>
        <w:t> </w:t>
      </w:r>
      <w:r w:rsidRPr="002B6B0D">
        <w:rPr>
          <w:rFonts w:ascii="Times New Roman" w:eastAsia="Times New Roman" w:hAnsi="Times New Roman" w:cs="Times New Roman"/>
          <w:color w:val="000000"/>
        </w:rPr>
        <w:t>Bộ, Thủ trưởng cơ quan khác ở Trung ương, Chủ tịch Ủy ban nhân dân các tỉnh, thành phố trực thuộc Trung ương quyết định việc mua sắm phương tiện đi lại phục vụ công tác cho các</w:t>
      </w:r>
      <w:r w:rsidRPr="002B6B0D">
        <w:rPr>
          <w:rFonts w:ascii="Times New Roman" w:eastAsia="Times New Roman" w:hAnsi="Times New Roman" w:cs="Times New Roman"/>
          <w:color w:val="FF0000"/>
        </w:rPr>
        <w:t> </w:t>
      </w:r>
      <w:r w:rsidRPr="002B6B0D">
        <w:rPr>
          <w:rFonts w:ascii="Times New Roman" w:eastAsia="Times New Roman" w:hAnsi="Times New Roman" w:cs="Times New Roman"/>
          <w:color w:val="000000"/>
        </w:rPr>
        <w:t>cơ quan khác của Việt Nam ở nước ngoài thuộc phạm vi mình quản lý trong dự toán ngân sách được giao hàng năm.</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3. Mức giá mua phương tiện đi lại tại Quy định này bao gồm cả các loại thuế có liên quan, không bao gồm phí bảo hiểm, các loại lệ phí và các khoản </w:t>
      </w:r>
      <w:proofErr w:type="gramStart"/>
      <w:r w:rsidRPr="002B6B0D">
        <w:rPr>
          <w:rFonts w:ascii="Times New Roman" w:eastAsia="Times New Roman" w:hAnsi="Times New Roman" w:cs="Times New Roman"/>
          <w:color w:val="000000"/>
        </w:rPr>
        <w:t>thu</w:t>
      </w:r>
      <w:proofErr w:type="gramEnd"/>
      <w:r w:rsidRPr="002B6B0D">
        <w:rPr>
          <w:rFonts w:ascii="Times New Roman" w:eastAsia="Times New Roman" w:hAnsi="Times New Roman" w:cs="Times New Roman"/>
          <w:color w:val="000000"/>
        </w:rPr>
        <w:t xml:space="preserve"> khác có liên quan đến sử dụng xe theo quy định của nước sở tại.</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4. Phương tiện đi lại phục vụ công tác của cơ quan đại diện và cơ quan khác của Việt Nam ở nước ngoài khi sử dụng phải mua bảo hiểm </w:t>
      </w:r>
      <w:proofErr w:type="gramStart"/>
      <w:r w:rsidRPr="002B6B0D">
        <w:rPr>
          <w:rFonts w:ascii="Times New Roman" w:eastAsia="Times New Roman" w:hAnsi="Times New Roman" w:cs="Times New Roman"/>
          <w:color w:val="000000"/>
        </w:rPr>
        <w:t>theo</w:t>
      </w:r>
      <w:proofErr w:type="gramEnd"/>
      <w:r w:rsidRPr="002B6B0D">
        <w:rPr>
          <w:rFonts w:ascii="Times New Roman" w:eastAsia="Times New Roman" w:hAnsi="Times New Roman" w:cs="Times New Roman"/>
          <w:color w:val="000000"/>
        </w:rPr>
        <w:t xml:space="preserve"> quy định của nước sở tại.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5. Việc quản lý, sử dụng phương tiện đi lại phục vụ công tác được thực hiện </w:t>
      </w:r>
      <w:proofErr w:type="gramStart"/>
      <w:r w:rsidRPr="002B6B0D">
        <w:rPr>
          <w:rFonts w:ascii="Times New Roman" w:eastAsia="Times New Roman" w:hAnsi="Times New Roman" w:cs="Times New Roman"/>
          <w:color w:val="000000"/>
        </w:rPr>
        <w:t>theo</w:t>
      </w:r>
      <w:proofErr w:type="gramEnd"/>
      <w:r w:rsidRPr="002B6B0D">
        <w:rPr>
          <w:rFonts w:ascii="Times New Roman" w:eastAsia="Times New Roman" w:hAnsi="Times New Roman" w:cs="Times New Roman"/>
          <w:color w:val="000000"/>
        </w:rPr>
        <w:t xml:space="preserve"> quy định của pháp luật Việt Nam về quản lý sử dụng tài sản nhà nước của cơ quan đại diện, cơ quan khác của Việt Nam ở nước ngoài và pháp luật có liên quan của nước sở tại.</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6. Nghiêm cấm việc cho thuê, cho mượn, chuyển nhượng không đúng</w:t>
      </w:r>
      <w:r w:rsidRPr="002B6B0D">
        <w:rPr>
          <w:rFonts w:ascii="Times New Roman" w:eastAsia="Times New Roman" w:hAnsi="Times New Roman" w:cs="Times New Roman"/>
          <w:color w:val="FF00FF"/>
          <w:u w:val="single"/>
        </w:rPr>
        <w:t> </w:t>
      </w:r>
      <w:r w:rsidRPr="002B6B0D">
        <w:rPr>
          <w:rFonts w:ascii="Times New Roman" w:eastAsia="Times New Roman" w:hAnsi="Times New Roman" w:cs="Times New Roman"/>
          <w:color w:val="000000"/>
        </w:rPr>
        <w:t>quy định hoặc sử dụng không đúng mục đích phương tiện đi lại được giao.</w:t>
      </w:r>
    </w:p>
    <w:p w:rsidR="002B6B0D" w:rsidRPr="002B6B0D" w:rsidRDefault="002B6B0D" w:rsidP="002B6B0D">
      <w:pPr>
        <w:shd w:val="clear" w:color="auto" w:fill="FFFFFF"/>
        <w:spacing w:before="120" w:after="120" w:line="240" w:lineRule="auto"/>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Chương II</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QUY ĐỊNH CỤ THỂ</w:t>
      </w:r>
    </w:p>
    <w:p w:rsidR="002B6B0D" w:rsidRPr="002B6B0D" w:rsidRDefault="002B6B0D" w:rsidP="002B6B0D">
      <w:pPr>
        <w:shd w:val="clear" w:color="auto" w:fill="FFFFFF"/>
        <w:spacing w:before="120" w:after="12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3.</w:t>
      </w:r>
      <w:proofErr w:type="gramEnd"/>
      <w:r w:rsidRPr="002B6B0D">
        <w:rPr>
          <w:rFonts w:ascii="Times New Roman" w:eastAsia="Times New Roman" w:hAnsi="Times New Roman" w:cs="Times New Roman"/>
          <w:b/>
          <w:bCs/>
          <w:color w:val="000000"/>
        </w:rPr>
        <w:t> </w:t>
      </w:r>
      <w:r w:rsidRPr="002B6B0D">
        <w:rPr>
          <w:rFonts w:ascii="Times New Roman" w:eastAsia="Times New Roman" w:hAnsi="Times New Roman" w:cs="Times New Roman"/>
          <w:color w:val="000000"/>
        </w:rPr>
        <w:t xml:space="preserve">Tiêu chuẩn trang bị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ô tô phục vụ công tác cho chức danh lãnh đạo cơ quan đại diện</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1. Các chức danh Đại sứ hoặc Đại biện, Trưởng phái đoàn Việt Nam tại các Tổ chức Quốc tế được sử dụng thưòng xuyên 01 xe ô tô phục vụ công tác với mức giá tối đa không quá 65.000 USD/xe.</w:t>
      </w:r>
      <w:r w:rsidRPr="002B6B0D">
        <w:rPr>
          <w:rFonts w:ascii="Times New Roman" w:eastAsia="Times New Roman" w:hAnsi="Times New Roman" w:cs="Times New Roman"/>
          <w:b/>
          <w:bCs/>
          <w:color w:val="000000"/>
        </w:rPr>
        <w:t> </w:t>
      </w:r>
      <w:r w:rsidRPr="002B6B0D">
        <w:rPr>
          <w:rFonts w:ascii="Times New Roman" w:eastAsia="Times New Roman" w:hAnsi="Times New Roman" w:cs="Times New Roman"/>
          <w:color w:val="000000"/>
        </w:rPr>
        <w:t xml:space="preserve">Đối với chức danh Tổng lãnh sự được sử dụng thường xuyên 01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ô tô phục vụ công tác với mức giá tối đa không quá 60.000 USD/xe.</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2. Căn cứ vào mặt bằng giá và yêu cầu phục vụ hoạt động ngoại giao tại mỗi quốc gia, vùng lãnh thổ và mức giá quy định tại khoản 1 Điều này, Bộ Ngoại giao quyết định chủng loại, nhãn hiệu và giá mua xe phù hợp để trang bị xe ô tô phục vụ công tác cho các chức danh quy định tại khoản 1 Điều này.</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3. Trường hợp do yêu cầu phục vụ hoạt động ngoại giao của Nhà nước Việt Nam tại một số quốc gia, địa bàn trọng điểm mà quan hệ đối ngoại cần phải trang bị xe ô tô phục vụ công tác cho các chức danh quy định tại khoản 1 Điều này với mức giá mua xe cao hơn quy định tại Quyết định này thì Bộ Ngoại giao quyết định sau khi có ý kiến thống nhất bằng văn bản của Bộ Tài chính.</w:t>
      </w:r>
    </w:p>
    <w:p w:rsidR="002B6B0D" w:rsidRPr="002B6B0D" w:rsidRDefault="002B6B0D" w:rsidP="002B6B0D">
      <w:pPr>
        <w:shd w:val="clear" w:color="auto" w:fill="FFFFFF"/>
        <w:spacing w:before="120" w:after="12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lastRenderedPageBreak/>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4.</w:t>
      </w:r>
      <w:proofErr w:type="gramEnd"/>
      <w:r w:rsidRPr="002B6B0D">
        <w:rPr>
          <w:rFonts w:ascii="Times New Roman" w:eastAsia="Times New Roman" w:hAnsi="Times New Roman" w:cs="Times New Roman"/>
          <w:b/>
          <w:bCs/>
          <w:color w:val="000000"/>
        </w:rPr>
        <w:t> </w:t>
      </w:r>
      <w:r w:rsidRPr="002B6B0D">
        <w:rPr>
          <w:rFonts w:ascii="Times New Roman" w:eastAsia="Times New Roman" w:hAnsi="Times New Roman" w:cs="Times New Roman"/>
          <w:color w:val="000000"/>
        </w:rPr>
        <w:t xml:space="preserve">Định mức trang bị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ô tô phục vụ công tác chung của cơ quan đại diện</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1. Cán bộ, công chức và nhân viên của cơ quan đại diện tại nước ngoài, tuỳ </w:t>
      </w:r>
      <w:proofErr w:type="gramStart"/>
      <w:r w:rsidRPr="002B6B0D">
        <w:rPr>
          <w:rFonts w:ascii="Times New Roman" w:eastAsia="Times New Roman" w:hAnsi="Times New Roman" w:cs="Times New Roman"/>
          <w:color w:val="000000"/>
        </w:rPr>
        <w:t>theo</w:t>
      </w:r>
      <w:proofErr w:type="gramEnd"/>
      <w:r w:rsidRPr="002B6B0D">
        <w:rPr>
          <w:rFonts w:ascii="Times New Roman" w:eastAsia="Times New Roman" w:hAnsi="Times New Roman" w:cs="Times New Roman"/>
          <w:color w:val="000000"/>
        </w:rPr>
        <w:t xml:space="preserve"> điều kiện cụ thể và tính chất công việc được bố trí xe ô tô phục vụ công tác theo quy định của Thủ trưởng cơ quan.</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2. Căn cứ vào số lượng biên chế của cơ quan (không bao gồm các chức danh đã được trang bị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theo quy định tại khoản 1 Điều 3 Quyết định</w:t>
      </w:r>
      <w:r w:rsidRPr="002B6B0D">
        <w:rPr>
          <w:rFonts w:ascii="Times New Roman" w:eastAsia="Times New Roman" w:hAnsi="Times New Roman" w:cs="Times New Roman"/>
          <w:color w:val="FF0000"/>
        </w:rPr>
        <w:t> </w:t>
      </w:r>
      <w:r w:rsidRPr="002B6B0D">
        <w:rPr>
          <w:rFonts w:ascii="Times New Roman" w:eastAsia="Times New Roman" w:hAnsi="Times New Roman" w:cs="Times New Roman"/>
          <w:color w:val="000000"/>
        </w:rPr>
        <w:t>này), Bộ Ngoại giao quyết định chủng loại, nhãn hiệu xe trang bị phục vụ công tác chung theo định mức sau:</w:t>
      </w:r>
    </w:p>
    <w:p w:rsidR="002B6B0D" w:rsidRPr="002B6B0D" w:rsidRDefault="002B6B0D" w:rsidP="002B6B0D">
      <w:pPr>
        <w:shd w:val="clear" w:color="auto" w:fill="FFFFFF"/>
        <w:spacing w:before="120" w:after="120" w:line="240" w:lineRule="auto"/>
        <w:ind w:firstLine="544"/>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before="120" w:after="120" w:line="240" w:lineRule="auto"/>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Description w:val="table"/>
      </w:tblPr>
      <w:tblGrid>
        <w:gridCol w:w="930"/>
        <w:gridCol w:w="3465"/>
        <w:gridCol w:w="3705"/>
      </w:tblGrid>
      <w:tr w:rsidR="002B6B0D" w:rsidRPr="002B6B0D" w:rsidTr="002B6B0D">
        <w:trPr>
          <w:jc w:val="center"/>
        </w:trPr>
        <w:tc>
          <w:tcPr>
            <w:tcW w:w="930"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STT</w:t>
            </w:r>
          </w:p>
        </w:tc>
        <w:tc>
          <w:tcPr>
            <w:tcW w:w="3465"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Số lượng biên chế</w:t>
            </w:r>
          </w:p>
        </w:tc>
        <w:tc>
          <w:tcPr>
            <w:tcW w:w="3705" w:type="dxa"/>
            <w:tcBorders>
              <w:bottom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Số xe được trang bị</w:t>
            </w:r>
          </w:p>
        </w:tc>
      </w:tr>
      <w:tr w:rsidR="002B6B0D" w:rsidRPr="002B6B0D" w:rsidTr="002B6B0D">
        <w:trPr>
          <w:jc w:val="center"/>
        </w:trPr>
        <w:tc>
          <w:tcPr>
            <w:tcW w:w="930"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1</w:t>
            </w:r>
          </w:p>
        </w:tc>
        <w:tc>
          <w:tcPr>
            <w:tcW w:w="3465"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Từ 1- 4</w:t>
            </w:r>
          </w:p>
        </w:tc>
        <w:tc>
          <w:tcPr>
            <w:tcW w:w="3705" w:type="dxa"/>
            <w:tcBorders>
              <w:bottom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01 xe</w:t>
            </w:r>
          </w:p>
        </w:tc>
      </w:tr>
      <w:tr w:rsidR="002B6B0D" w:rsidRPr="002B6B0D" w:rsidTr="002B6B0D">
        <w:trPr>
          <w:jc w:val="center"/>
        </w:trPr>
        <w:tc>
          <w:tcPr>
            <w:tcW w:w="930"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2</w:t>
            </w:r>
          </w:p>
        </w:tc>
        <w:tc>
          <w:tcPr>
            <w:tcW w:w="3465"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Từ 5 - 7</w:t>
            </w:r>
          </w:p>
        </w:tc>
        <w:tc>
          <w:tcPr>
            <w:tcW w:w="3705" w:type="dxa"/>
            <w:tcBorders>
              <w:bottom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02 xe</w:t>
            </w:r>
          </w:p>
        </w:tc>
      </w:tr>
      <w:tr w:rsidR="002B6B0D" w:rsidRPr="002B6B0D" w:rsidTr="002B6B0D">
        <w:trPr>
          <w:jc w:val="center"/>
        </w:trPr>
        <w:tc>
          <w:tcPr>
            <w:tcW w:w="930"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3</w:t>
            </w:r>
          </w:p>
        </w:tc>
        <w:tc>
          <w:tcPr>
            <w:tcW w:w="3465"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Từ 8 - 12</w:t>
            </w:r>
          </w:p>
        </w:tc>
        <w:tc>
          <w:tcPr>
            <w:tcW w:w="3705" w:type="dxa"/>
            <w:tcBorders>
              <w:bottom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03 xe</w:t>
            </w:r>
          </w:p>
        </w:tc>
      </w:tr>
      <w:tr w:rsidR="002B6B0D" w:rsidRPr="002B6B0D" w:rsidTr="002B6B0D">
        <w:trPr>
          <w:jc w:val="center"/>
        </w:trPr>
        <w:tc>
          <w:tcPr>
            <w:tcW w:w="930"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4</w:t>
            </w:r>
          </w:p>
        </w:tc>
        <w:tc>
          <w:tcPr>
            <w:tcW w:w="3465"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Từ 13 - 19</w:t>
            </w:r>
          </w:p>
        </w:tc>
        <w:tc>
          <w:tcPr>
            <w:tcW w:w="3705" w:type="dxa"/>
            <w:tcBorders>
              <w:bottom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04 xe</w:t>
            </w:r>
          </w:p>
        </w:tc>
      </w:tr>
      <w:tr w:rsidR="002B6B0D" w:rsidRPr="002B6B0D" w:rsidTr="002B6B0D">
        <w:trPr>
          <w:jc w:val="center"/>
        </w:trPr>
        <w:tc>
          <w:tcPr>
            <w:tcW w:w="930"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5</w:t>
            </w:r>
          </w:p>
        </w:tc>
        <w:tc>
          <w:tcPr>
            <w:tcW w:w="3465"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Từ 20 - 30</w:t>
            </w:r>
          </w:p>
        </w:tc>
        <w:tc>
          <w:tcPr>
            <w:tcW w:w="3705" w:type="dxa"/>
            <w:tcBorders>
              <w:bottom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5 - 6 xe</w:t>
            </w:r>
          </w:p>
        </w:tc>
      </w:tr>
      <w:tr w:rsidR="002B6B0D" w:rsidRPr="002B6B0D" w:rsidTr="002B6B0D">
        <w:trPr>
          <w:jc w:val="center"/>
        </w:trPr>
        <w:tc>
          <w:tcPr>
            <w:tcW w:w="930"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6</w:t>
            </w:r>
          </w:p>
        </w:tc>
        <w:tc>
          <w:tcPr>
            <w:tcW w:w="3465"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Từ 31 - 40</w:t>
            </w:r>
          </w:p>
        </w:tc>
        <w:tc>
          <w:tcPr>
            <w:tcW w:w="3705" w:type="dxa"/>
            <w:tcBorders>
              <w:bottom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7 - 8 xe</w:t>
            </w:r>
          </w:p>
        </w:tc>
      </w:tr>
      <w:tr w:rsidR="002B6B0D" w:rsidRPr="002B6B0D" w:rsidTr="002B6B0D">
        <w:trPr>
          <w:jc w:val="center"/>
        </w:trPr>
        <w:tc>
          <w:tcPr>
            <w:tcW w:w="930"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7</w:t>
            </w:r>
          </w:p>
        </w:tc>
        <w:tc>
          <w:tcPr>
            <w:tcW w:w="3465" w:type="dxa"/>
            <w:tcBorders>
              <w:bottom w:val="single" w:sz="6" w:space="0" w:color="000000"/>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Từ 41 - 50</w:t>
            </w:r>
          </w:p>
        </w:tc>
        <w:tc>
          <w:tcPr>
            <w:tcW w:w="3705" w:type="dxa"/>
            <w:tcBorders>
              <w:bottom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8 - 9 xe</w:t>
            </w:r>
          </w:p>
        </w:tc>
      </w:tr>
      <w:tr w:rsidR="002B6B0D" w:rsidRPr="002B6B0D" w:rsidTr="002B6B0D">
        <w:trPr>
          <w:jc w:val="center"/>
        </w:trPr>
        <w:tc>
          <w:tcPr>
            <w:tcW w:w="930" w:type="dxa"/>
            <w:tcBorders>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8</w:t>
            </w:r>
          </w:p>
        </w:tc>
        <w:tc>
          <w:tcPr>
            <w:tcW w:w="3465" w:type="dxa"/>
            <w:tcBorders>
              <w:right w:val="single" w:sz="6" w:space="0" w:color="000000"/>
            </w:tcBorders>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Trên 50</w:t>
            </w:r>
          </w:p>
        </w:tc>
        <w:tc>
          <w:tcPr>
            <w:tcW w:w="3705" w:type="dxa"/>
            <w:shd w:val="clear" w:color="auto" w:fill="FFFFFF"/>
            <w:vAlign w:val="center"/>
            <w:hideMark/>
          </w:tcPr>
          <w:p w:rsidR="002B6B0D" w:rsidRPr="002B6B0D" w:rsidRDefault="002B6B0D" w:rsidP="002B6B0D">
            <w:pPr>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color w:val="000000"/>
              </w:rPr>
              <w:t>10 xe</w:t>
            </w:r>
          </w:p>
        </w:tc>
      </w:tr>
    </w:tbl>
    <w:p w:rsidR="002B6B0D" w:rsidRPr="002B6B0D" w:rsidRDefault="002B6B0D" w:rsidP="002B6B0D">
      <w:pPr>
        <w:shd w:val="clear" w:color="auto" w:fill="FFFFFF"/>
        <w:spacing w:before="120" w:after="120" w:line="240" w:lineRule="auto"/>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3. Giá mua đối với số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được trang bị theo định mức quy định tại khoản 2 Điều này như sau:</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 Mỗi cơ quan đại diện được mua 01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ô tô với mức giá tối đa không quá 45.000 USD/xe;</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 Số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còn lại được mua với mức giá tối đa không quá 35.000 USD/xe.</w:t>
      </w:r>
    </w:p>
    <w:p w:rsidR="002B6B0D" w:rsidRPr="002B6B0D" w:rsidRDefault="002B6B0D" w:rsidP="002B6B0D">
      <w:pPr>
        <w:shd w:val="clear" w:color="auto" w:fill="FFFFFF"/>
        <w:spacing w:before="120" w:after="12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5.</w:t>
      </w:r>
      <w:proofErr w:type="gramEnd"/>
      <w:r w:rsidRPr="002B6B0D">
        <w:rPr>
          <w:rFonts w:ascii="Times New Roman" w:eastAsia="Times New Roman" w:hAnsi="Times New Roman" w:cs="Times New Roman"/>
          <w:b/>
          <w:bCs/>
          <w:color w:val="000000"/>
        </w:rPr>
        <w:t> </w:t>
      </w:r>
      <w:r w:rsidRPr="002B6B0D">
        <w:rPr>
          <w:rFonts w:ascii="Times New Roman" w:eastAsia="Times New Roman" w:hAnsi="Times New Roman" w:cs="Times New Roman"/>
          <w:color w:val="000000"/>
        </w:rPr>
        <w:t xml:space="preserve">Định mức trang bị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ô tô phục vụ công tác của các cơ quan khác của Việt Nam ở nước ngoài</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1. Cán bộ, công chức và nhân viên của cơ quan khác của Việt Nam ở nước ngoài, tuỳ </w:t>
      </w:r>
      <w:proofErr w:type="gramStart"/>
      <w:r w:rsidRPr="002B6B0D">
        <w:rPr>
          <w:rFonts w:ascii="Times New Roman" w:eastAsia="Times New Roman" w:hAnsi="Times New Roman" w:cs="Times New Roman"/>
          <w:color w:val="000000"/>
        </w:rPr>
        <w:t>theo</w:t>
      </w:r>
      <w:proofErr w:type="gramEnd"/>
      <w:r w:rsidRPr="002B6B0D">
        <w:rPr>
          <w:rFonts w:ascii="Times New Roman" w:eastAsia="Times New Roman" w:hAnsi="Times New Roman" w:cs="Times New Roman"/>
          <w:color w:val="000000"/>
        </w:rPr>
        <w:t xml:space="preserve"> điều kiện cụ thể và tính chất công việc được bố trí xe phục vụ công tác theo quy định của Thủ trưởng cơ quan.</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2. Căn cứ vào số lượng biên chế của cơ quan, việc trang bị xe ô tô phục vụ công tác của cơ quan khác của Việt Nam ở nước ngoài được thực hiện như sau: từ 04 cán bộ trở xuống được trang bị 01 xe ô tô và trên 04 cán bộ được trang bị 02 xe với giá mua tối đa không quá 35.000 USD/xe</w:t>
      </w:r>
      <w:r w:rsidRPr="002B6B0D">
        <w:rPr>
          <w:rFonts w:ascii="Times New Roman" w:eastAsia="Times New Roman" w:hAnsi="Times New Roman" w:cs="Times New Roman"/>
          <w:i/>
          <w:iCs/>
          <w:color w:val="000000"/>
        </w:rPr>
        <w:t>.</w:t>
      </w:r>
    </w:p>
    <w:p w:rsidR="002B6B0D" w:rsidRPr="002B6B0D" w:rsidRDefault="002B6B0D" w:rsidP="002B6B0D">
      <w:pPr>
        <w:shd w:val="clear" w:color="auto" w:fill="FFFFFF"/>
        <w:spacing w:before="120" w:after="12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6.</w:t>
      </w:r>
      <w:proofErr w:type="gramEnd"/>
      <w:r w:rsidRPr="002B6B0D">
        <w:rPr>
          <w:rFonts w:ascii="Times New Roman" w:eastAsia="Times New Roman" w:hAnsi="Times New Roman" w:cs="Times New Roman"/>
          <w:b/>
          <w:bCs/>
          <w:color w:val="000000"/>
        </w:rPr>
        <w:t> </w:t>
      </w:r>
      <w:r w:rsidRPr="002B6B0D">
        <w:rPr>
          <w:rFonts w:ascii="Times New Roman" w:eastAsia="Times New Roman" w:hAnsi="Times New Roman" w:cs="Times New Roman"/>
          <w:color w:val="000000"/>
        </w:rPr>
        <w:t xml:space="preserve">Thanh lý, thay thế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ô tô phục vụ công tác</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1. Xe ô tô phục vụ cho các chức danh quy định tại khoản 1 Điều 3 Quy định này được trang bị thay thế sau khi đã sử dụng ít nhất 5 năm. Trường hợp </w:t>
      </w:r>
      <w:proofErr w:type="gramStart"/>
      <w:r w:rsidRPr="002B6B0D">
        <w:rPr>
          <w:rFonts w:ascii="Times New Roman" w:eastAsia="Times New Roman" w:hAnsi="Times New Roman" w:cs="Times New Roman"/>
          <w:color w:val="000000"/>
        </w:rPr>
        <w:t>theo</w:t>
      </w:r>
      <w:proofErr w:type="gramEnd"/>
      <w:r w:rsidRPr="002B6B0D">
        <w:rPr>
          <w:rFonts w:ascii="Times New Roman" w:eastAsia="Times New Roman" w:hAnsi="Times New Roman" w:cs="Times New Roman"/>
          <w:color w:val="000000"/>
        </w:rPr>
        <w:t xml:space="preserve"> quy định pháp luật của nước sở tại thời hạn sử dụng thấp hơn 5 năm thì được thay thế theo quy định của nước sở tại.</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2. Xe ô tô phục vụ công tác </w:t>
      </w:r>
      <w:proofErr w:type="gramStart"/>
      <w:r w:rsidRPr="002B6B0D">
        <w:rPr>
          <w:rFonts w:ascii="Times New Roman" w:eastAsia="Times New Roman" w:hAnsi="Times New Roman" w:cs="Times New Roman"/>
          <w:color w:val="000000"/>
        </w:rPr>
        <w:t>chung</w:t>
      </w:r>
      <w:proofErr w:type="gramEnd"/>
      <w:r w:rsidRPr="002B6B0D">
        <w:rPr>
          <w:rFonts w:ascii="Times New Roman" w:eastAsia="Times New Roman" w:hAnsi="Times New Roman" w:cs="Times New Roman"/>
          <w:color w:val="000000"/>
        </w:rPr>
        <w:t xml:space="preserve"> của cơ quan đại diện và cơ quan khác của Việt Nam ở nước ngoài được thanh lý theo quy định của nước sở tại. Trường hợp </w:t>
      </w:r>
      <w:proofErr w:type="gramStart"/>
      <w:r w:rsidRPr="002B6B0D">
        <w:rPr>
          <w:rFonts w:ascii="Times New Roman" w:eastAsia="Times New Roman" w:hAnsi="Times New Roman" w:cs="Times New Roman"/>
          <w:color w:val="000000"/>
        </w:rPr>
        <w:t>theo</w:t>
      </w:r>
      <w:proofErr w:type="gramEnd"/>
      <w:r w:rsidRPr="002B6B0D">
        <w:rPr>
          <w:rFonts w:ascii="Times New Roman" w:eastAsia="Times New Roman" w:hAnsi="Times New Roman" w:cs="Times New Roman"/>
          <w:color w:val="000000"/>
        </w:rPr>
        <w:t xml:space="preserve"> pháp luật của nước sở tại không quy định tiêu chuẩn thanh lý thì thực hiện theo quy định của pháp luật Việt Nam.</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3. Trường hợp cần thiết phải mua xe mới thay thế xe cũ trước thời hạn theo quy định, cơ quan đại diện báo cáo Bộ trưởng Bộ Ngoại giao, cơ quan khác của Việt Nam ở nước ngoài báo cáo Bộ trưởng, Thủ trưởng cơ quan ngang Bộ, Thủ trưởng cơ quan khác ở Trung ương và Chủ tịch Ủy ban nhân dân cấp tỉnh xem xét, quyết định sau khi có ý kiến thống nhất bằng văn bản của Bộ Tài chính.</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4. Khi có điều kiện đổi mới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ô tô phục vụ công tác do chế độ ưu đãi của nước sở tại, cơ quan đại diện, cơ quan khác của Việt Nam ở nước ngoài báo cáo cơ quan chủ quản xem xét, quyết định trong phạm vi dự toán được giao.</w:t>
      </w:r>
    </w:p>
    <w:p w:rsidR="002B6B0D" w:rsidRPr="002B6B0D" w:rsidRDefault="002B6B0D" w:rsidP="002B6B0D">
      <w:pPr>
        <w:shd w:val="clear" w:color="auto" w:fill="FFFFFF"/>
        <w:spacing w:before="120" w:after="12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lastRenderedPageBreak/>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7.</w:t>
      </w:r>
      <w:proofErr w:type="gramEnd"/>
      <w:r w:rsidRPr="002B6B0D">
        <w:rPr>
          <w:rFonts w:ascii="Times New Roman" w:eastAsia="Times New Roman" w:hAnsi="Times New Roman" w:cs="Times New Roman"/>
          <w:b/>
          <w:bCs/>
          <w:color w:val="000000"/>
        </w:rPr>
        <w:t> </w:t>
      </w:r>
      <w:r w:rsidRPr="002B6B0D">
        <w:rPr>
          <w:rFonts w:ascii="Times New Roman" w:eastAsia="Times New Roman" w:hAnsi="Times New Roman" w:cs="Times New Roman"/>
          <w:color w:val="000000"/>
        </w:rPr>
        <w:t xml:space="preserve">Chế độ quản lý, sử dụng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ô tô phục vụ công tác</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1. Thủ trưởng cơ quan đại diện, Thủ trưởng cơ quan khác của Việt Nam ở nước ngoài ban hành Quy chế quản lý, sử dụng xe ô tô phục vụ công tác tại cơ quan mình đảm bảo yêu cầu tiết kiệm, hiệu quả, phù hợp với điều kiện công tác tại mỗi nước.</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2. Căn cứ điều kiện cụ thể tại mỗi nước, cơ quan chủ quản có thể thực hiện khoán kinh phí để tự túc phương tiện đi lại phục vụ công tác </w:t>
      </w:r>
      <w:proofErr w:type="gramStart"/>
      <w:r w:rsidRPr="002B6B0D">
        <w:rPr>
          <w:rFonts w:ascii="Times New Roman" w:eastAsia="Times New Roman" w:hAnsi="Times New Roman" w:cs="Times New Roman"/>
          <w:color w:val="000000"/>
        </w:rPr>
        <w:t>theo</w:t>
      </w:r>
      <w:proofErr w:type="gramEnd"/>
      <w:r w:rsidRPr="002B6B0D">
        <w:rPr>
          <w:rFonts w:ascii="Times New Roman" w:eastAsia="Times New Roman" w:hAnsi="Times New Roman" w:cs="Times New Roman"/>
          <w:color w:val="000000"/>
        </w:rPr>
        <w:t xml:space="preserve"> nguyên tắc tự nguyện và chi phí khoán phải thấp hơn chi phí sử dụng xe công phục vụ công tác.</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3. Trường hợp do nhu cầu công tác đột xuất mà số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đã trang bị không đáp ứng được thì Thủ trưởng cơ quan đại diện, Thủ trưởng cơ quan khác của Việt Nam ở nước ngoài quyết định việc thuê xe để phục vụ công tác.</w:t>
      </w:r>
    </w:p>
    <w:p w:rsidR="002B6B0D" w:rsidRPr="002B6B0D" w:rsidRDefault="002B6B0D" w:rsidP="002B6B0D">
      <w:pPr>
        <w:shd w:val="clear" w:color="auto" w:fill="FFFFFF"/>
        <w:spacing w:before="120" w:after="12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8.</w:t>
      </w:r>
      <w:proofErr w:type="gramEnd"/>
      <w:r w:rsidRPr="002B6B0D">
        <w:rPr>
          <w:rFonts w:ascii="Times New Roman" w:eastAsia="Times New Roman" w:hAnsi="Times New Roman" w:cs="Times New Roman"/>
          <w:b/>
          <w:bCs/>
          <w:color w:val="000000"/>
        </w:rPr>
        <w:t> </w:t>
      </w:r>
      <w:r w:rsidRPr="002B6B0D">
        <w:rPr>
          <w:rFonts w:ascii="Times New Roman" w:eastAsia="Times New Roman" w:hAnsi="Times New Roman" w:cs="Times New Roman"/>
          <w:color w:val="000000"/>
        </w:rPr>
        <w:t xml:space="preserve">Trang bị, quản lý sử dụng các phương tiện đi lại khác ngoài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ô tô (dưới đây gọi tắt là phương tiện đi lại khác)</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1. Căn cứ vào điều kiện kinh tế xã hội, đặc điểm địa hình và yêu cầu phục vụ hoạt động công tác cụ thể tại mỗi quốc gia, vùng lãnh thổ; Bộ trưởng Bộ Ngoại giao, Bộ trưởng, Thủ trưởng cơ quan ngang Bộ, Thủ trưởng cơ quan khác ở Trung ương, Chủ tịch Ủy ban nhân dân cấp tỉnh xem xét, quyết định việc mua sắm, trang bị các loại phương tiện đi lại khác phục vụ công tác cho cơ quan Việt Nam ở nước ngoài thuộc phạm vi mình quản lý, đảm bảo nguyên tắc tiết kiệm, hiệu quả và phù hợp với dự toán ngân sách được giao.</w:t>
      </w:r>
    </w:p>
    <w:p w:rsidR="002B6B0D" w:rsidRPr="002B6B0D" w:rsidRDefault="002B6B0D" w:rsidP="002B6B0D">
      <w:pPr>
        <w:shd w:val="clear" w:color="auto" w:fill="FFFFFF"/>
        <w:spacing w:after="0" w:line="240" w:lineRule="auto"/>
        <w:ind w:firstLine="54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2. Trường hợp cơ quan Việt Nam ở nước ngoài có nhu cầu mua sắm phương tiện đi lại khác ngoài ô tô với mức giá trên 30.000 USD (bao gồm các loại thuế có liên quan) thì Bộ trưởng Bộ Ngoại giao, Bộ trưởng Bộ chủ quản, Chủ tịch Ủy ban nhân dân cấp tỉnh xem xét, quyết định việc mua sắm sau khi có ý kiến thống nhất bằng văn bản với Bộ Tài chính.</w:t>
      </w:r>
    </w:p>
    <w:p w:rsidR="002B6B0D" w:rsidRPr="002B6B0D" w:rsidRDefault="002B6B0D" w:rsidP="002B6B0D">
      <w:pPr>
        <w:shd w:val="clear" w:color="auto" w:fill="FFFFFF"/>
        <w:spacing w:after="0" w:line="240" w:lineRule="auto"/>
        <w:ind w:firstLine="54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3. Việc mua sắm, trang bị và quản lý, sử dụng phương tiện đi lại khác được thực hiện </w:t>
      </w:r>
      <w:proofErr w:type="gramStart"/>
      <w:r w:rsidRPr="002B6B0D">
        <w:rPr>
          <w:rFonts w:ascii="Times New Roman" w:eastAsia="Times New Roman" w:hAnsi="Times New Roman" w:cs="Times New Roman"/>
          <w:color w:val="000000"/>
        </w:rPr>
        <w:t>theo</w:t>
      </w:r>
      <w:proofErr w:type="gramEnd"/>
      <w:r w:rsidRPr="002B6B0D">
        <w:rPr>
          <w:rFonts w:ascii="Times New Roman" w:eastAsia="Times New Roman" w:hAnsi="Times New Roman" w:cs="Times New Roman"/>
          <w:color w:val="000000"/>
        </w:rPr>
        <w:t xml:space="preserve"> các nguyên tắc quy định tại Điều 2 Quy định này.</w:t>
      </w:r>
    </w:p>
    <w:p w:rsidR="002B6B0D" w:rsidRPr="002B6B0D" w:rsidRDefault="002B6B0D" w:rsidP="002B6B0D">
      <w:pPr>
        <w:shd w:val="clear" w:color="auto" w:fill="FFFFFF"/>
        <w:spacing w:before="120" w:after="120" w:line="240" w:lineRule="auto"/>
        <w:ind w:hanging="360"/>
        <w:jc w:val="center"/>
        <w:rPr>
          <w:rFonts w:ascii="Times New Roman" w:eastAsia="Times New Roman" w:hAnsi="Times New Roman" w:cs="Times New Roman"/>
          <w:b/>
          <w:bCs/>
          <w:color w:val="000000"/>
        </w:rPr>
      </w:pPr>
      <w:r w:rsidRPr="002B6B0D">
        <w:rPr>
          <w:rFonts w:ascii="Times New Roman" w:eastAsia="Times New Roman" w:hAnsi="Times New Roman" w:cs="Times New Roman"/>
          <w:b/>
          <w:bCs/>
          <w:color w:val="000000"/>
        </w:rPr>
        <w:t> </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Chương III</w:t>
      </w:r>
    </w:p>
    <w:p w:rsidR="002B6B0D" w:rsidRPr="002B6B0D" w:rsidRDefault="002B6B0D" w:rsidP="002B6B0D">
      <w:pPr>
        <w:shd w:val="clear" w:color="auto" w:fill="FFFFFF"/>
        <w:spacing w:after="0" w:line="240" w:lineRule="auto"/>
        <w:jc w:val="center"/>
        <w:rPr>
          <w:rFonts w:ascii="Times New Roman" w:eastAsia="Times New Roman" w:hAnsi="Times New Roman" w:cs="Times New Roman"/>
          <w:color w:val="000000"/>
        </w:rPr>
      </w:pPr>
      <w:r w:rsidRPr="002B6B0D">
        <w:rPr>
          <w:rFonts w:ascii="Times New Roman" w:eastAsia="Times New Roman" w:hAnsi="Times New Roman" w:cs="Times New Roman"/>
          <w:b/>
          <w:bCs/>
          <w:color w:val="000000"/>
        </w:rPr>
        <w:t>TỔ CHỨC THỰC HIỆN</w:t>
      </w:r>
    </w:p>
    <w:p w:rsidR="002B6B0D" w:rsidRPr="002B6B0D" w:rsidRDefault="002B6B0D" w:rsidP="002B6B0D">
      <w:pPr>
        <w:shd w:val="clear" w:color="auto" w:fill="FFFFFF"/>
        <w:spacing w:before="120" w:after="120" w:line="240" w:lineRule="auto"/>
        <w:ind w:firstLine="567"/>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67"/>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9.</w:t>
      </w:r>
      <w:proofErr w:type="gramEnd"/>
      <w:r w:rsidRPr="002B6B0D">
        <w:rPr>
          <w:rFonts w:ascii="Times New Roman" w:eastAsia="Times New Roman" w:hAnsi="Times New Roman" w:cs="Times New Roman"/>
          <w:b/>
          <w:bCs/>
          <w:color w:val="000000"/>
        </w:rPr>
        <w:t> </w:t>
      </w:r>
      <w:r w:rsidRPr="002B6B0D">
        <w:rPr>
          <w:rFonts w:ascii="Times New Roman" w:eastAsia="Times New Roman" w:hAnsi="Times New Roman" w:cs="Times New Roman"/>
          <w:color w:val="000000"/>
        </w:rPr>
        <w:t xml:space="preserve">Xử lý </w:t>
      </w:r>
      <w:proofErr w:type="gramStart"/>
      <w:r w:rsidRPr="002B6B0D">
        <w:rPr>
          <w:rFonts w:ascii="Times New Roman" w:eastAsia="Times New Roman" w:hAnsi="Times New Roman" w:cs="Times New Roman"/>
          <w:color w:val="000000"/>
        </w:rPr>
        <w:t>vi</w:t>
      </w:r>
      <w:proofErr w:type="gramEnd"/>
      <w:r w:rsidRPr="002B6B0D">
        <w:rPr>
          <w:rFonts w:ascii="Times New Roman" w:eastAsia="Times New Roman" w:hAnsi="Times New Roman" w:cs="Times New Roman"/>
          <w:color w:val="000000"/>
        </w:rPr>
        <w:t xml:space="preserve"> phạm</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Cơ quan, tổ chức, đơn vị, cá nhân thực hiện không đúng những quy định tại Quy định này thì Thủ trưởng cơ quan và các cá nhân có liên quan tuỳ theo tính chất, mức độ vi phạm sẽ bị xử lý kỷ luật, xử lý hành chính hoặc truy cứu trách nhiệm hình sự theo quy định của pháp luật, nếu gây thiệt hại thì phải bồi thường theo quy định của pháp luật.</w:t>
      </w:r>
    </w:p>
    <w:p w:rsidR="002B6B0D" w:rsidRPr="002B6B0D" w:rsidRDefault="002B6B0D" w:rsidP="002B6B0D">
      <w:pPr>
        <w:shd w:val="clear" w:color="auto" w:fill="FFFFFF"/>
        <w:spacing w:before="120" w:after="12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proofErr w:type="gramStart"/>
      <w:r w:rsidRPr="002B6B0D">
        <w:rPr>
          <w:rFonts w:ascii="Times New Roman" w:eastAsia="Times New Roman" w:hAnsi="Times New Roman" w:cs="Times New Roman"/>
          <w:b/>
          <w:bCs/>
          <w:color w:val="000000"/>
        </w:rPr>
        <w:t>Điều 10</w:t>
      </w:r>
      <w:r w:rsidRPr="002B6B0D">
        <w:rPr>
          <w:rFonts w:ascii="Times New Roman" w:eastAsia="Times New Roman" w:hAnsi="Times New Roman" w:cs="Times New Roman"/>
          <w:color w:val="000000"/>
        </w:rPr>
        <w:t>.</w:t>
      </w:r>
      <w:proofErr w:type="gramEnd"/>
      <w:r w:rsidRPr="002B6B0D">
        <w:rPr>
          <w:rFonts w:ascii="Times New Roman" w:eastAsia="Times New Roman" w:hAnsi="Times New Roman" w:cs="Times New Roman"/>
          <w:color w:val="000000"/>
        </w:rPr>
        <w:t xml:space="preserve"> Trách nhiệm thi hành</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1. Bộ Tài chính chủ trì, phối hợp với Bộ Ngoại giao và các Bộ, cơ quan ngang Bộ, cơ quan khác ở Trung ương, Ủy ban nhân dân các tỉnh, thành phố trực thuộc Trung ương có liên quan tổ chức thi hành Quy định này.</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 xml:space="preserve">2. Khi mức giá </w:t>
      </w:r>
      <w:proofErr w:type="gramStart"/>
      <w:r w:rsidRPr="002B6B0D">
        <w:rPr>
          <w:rFonts w:ascii="Times New Roman" w:eastAsia="Times New Roman" w:hAnsi="Times New Roman" w:cs="Times New Roman"/>
          <w:color w:val="000000"/>
        </w:rPr>
        <w:t>xe</w:t>
      </w:r>
      <w:proofErr w:type="gramEnd"/>
      <w:r w:rsidRPr="002B6B0D">
        <w:rPr>
          <w:rFonts w:ascii="Times New Roman" w:eastAsia="Times New Roman" w:hAnsi="Times New Roman" w:cs="Times New Roman"/>
          <w:color w:val="000000"/>
        </w:rPr>
        <w:t xml:space="preserve"> ô tô trên thị trường nước sở tại quy đổi ra đô la Mỹ tăng, giảm trên 20% so với mức giá tại Quy định này, Bộ trưởng Bộ Tài chính quyết định điều chỉnh cho phù hợp.</w:t>
      </w:r>
    </w:p>
    <w:p w:rsidR="002B6B0D" w:rsidRPr="002B6B0D" w:rsidRDefault="002B6B0D" w:rsidP="002B6B0D">
      <w:pPr>
        <w:shd w:val="clear" w:color="auto" w:fill="FFFFFF"/>
        <w:spacing w:after="0" w:line="240" w:lineRule="auto"/>
        <w:ind w:firstLine="567"/>
        <w:jc w:val="both"/>
        <w:rPr>
          <w:rFonts w:ascii="Times New Roman" w:eastAsia="Times New Roman" w:hAnsi="Times New Roman" w:cs="Times New Roman"/>
          <w:color w:val="000000"/>
        </w:rPr>
      </w:pPr>
      <w:r w:rsidRPr="002B6B0D">
        <w:rPr>
          <w:rFonts w:ascii="Times New Roman" w:eastAsia="Times New Roman" w:hAnsi="Times New Roman" w:cs="Times New Roman"/>
          <w:color w:val="000000"/>
        </w:rPr>
        <w:t>3. Bộ trưởng, Thủ trưởng cơ quan ngang Bộ, Thủ trưởng cơ quan khác ở Trung ương, Chủ tịch Ủy ban nhân dân tỉnh, thành phố trực thuộc Trung ương và Thủ trưởng các cơ quan, tổ chức, đơn vị liên quan chịu trách nhiệm thi hành Quy định này./.</w:t>
      </w:r>
    </w:p>
    <w:p w:rsidR="00B16FEC" w:rsidRPr="00697776" w:rsidRDefault="00B16FEC" w:rsidP="002B6B0D">
      <w:pPr>
        <w:shd w:val="clear" w:color="auto" w:fill="FFFFFF"/>
        <w:spacing w:after="0" w:line="240" w:lineRule="auto"/>
        <w:jc w:val="center"/>
        <w:rPr>
          <w:rFonts w:ascii="Times New Roman" w:hAnsi="Times New Roman" w:cs="Times New Roman"/>
        </w:rPr>
      </w:pPr>
    </w:p>
    <w:sectPr w:rsidR="00B16FEC" w:rsidRPr="00697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56"/>
    <w:rsid w:val="002B6B0D"/>
    <w:rsid w:val="00697776"/>
    <w:rsid w:val="006D7756"/>
    <w:rsid w:val="00B1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7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7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20819">
      <w:bodyDiv w:val="1"/>
      <w:marLeft w:val="0"/>
      <w:marRight w:val="0"/>
      <w:marTop w:val="0"/>
      <w:marBottom w:val="0"/>
      <w:divBdr>
        <w:top w:val="none" w:sz="0" w:space="0" w:color="auto"/>
        <w:left w:val="none" w:sz="0" w:space="0" w:color="auto"/>
        <w:bottom w:val="none" w:sz="0" w:space="0" w:color="auto"/>
        <w:right w:val="none" w:sz="0" w:space="0" w:color="auto"/>
      </w:divBdr>
    </w:div>
    <w:div w:id="18177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2021-07-15T01:57:00Z</dcterms:created>
  <dcterms:modified xsi:type="dcterms:W3CDTF">2021-07-15T01:57:00Z</dcterms:modified>
</cp:coreProperties>
</file>